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9C66B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C66B5" w:rsidRDefault="00F864B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6B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C66B5" w:rsidRDefault="00F864B2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Республики Северная Осетия-Алания от 19.12.2024 N 548</w:t>
            </w:r>
            <w:r>
              <w:rPr>
                <w:sz w:val="48"/>
              </w:rPr>
              <w:br/>
              <w:t>"Об утверждении региональной программы "Активное долголетие в Республике Северная Осетия-Алания" на 2025 - 2030 годы"</w:t>
            </w:r>
          </w:p>
        </w:tc>
      </w:tr>
      <w:tr w:rsidR="009C66B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C66B5" w:rsidRDefault="00F864B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12.01.2025</w:t>
            </w:r>
            <w:r>
              <w:rPr>
                <w:sz w:val="28"/>
              </w:rPr>
              <w:br/>
              <w:t> </w:t>
            </w:r>
          </w:p>
        </w:tc>
      </w:tr>
    </w:tbl>
    <w:p w:rsidR="009C66B5" w:rsidRDefault="009C66B5">
      <w:pPr>
        <w:pStyle w:val="ConsPlusNormal0"/>
        <w:sectPr w:rsidR="009C66B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C66B5" w:rsidRDefault="009C66B5">
      <w:pPr>
        <w:pStyle w:val="ConsPlusNormal0"/>
        <w:ind w:firstLine="540"/>
        <w:jc w:val="both"/>
        <w:outlineLvl w:val="0"/>
      </w:pPr>
    </w:p>
    <w:p w:rsidR="009C66B5" w:rsidRDefault="00F864B2">
      <w:pPr>
        <w:pStyle w:val="ConsPlusTitle0"/>
        <w:jc w:val="center"/>
        <w:outlineLvl w:val="0"/>
      </w:pPr>
      <w:r>
        <w:t>ПРАВИТЕЛЬСТВО РЕСПУБЛИКИ СЕВЕРНАЯ ОСЕТИЯ-АЛАНИЯ</w:t>
      </w:r>
    </w:p>
    <w:p w:rsidR="009C66B5" w:rsidRDefault="009C66B5">
      <w:pPr>
        <w:pStyle w:val="ConsPlusTitle0"/>
        <w:jc w:val="center"/>
      </w:pPr>
    </w:p>
    <w:p w:rsidR="009C66B5" w:rsidRDefault="00F864B2">
      <w:pPr>
        <w:pStyle w:val="ConsPlusTitle0"/>
        <w:jc w:val="center"/>
      </w:pPr>
      <w:r>
        <w:t>ПОСТАНОВЛЕНИЕ</w:t>
      </w:r>
    </w:p>
    <w:p w:rsidR="009C66B5" w:rsidRDefault="00F864B2">
      <w:pPr>
        <w:pStyle w:val="ConsPlusTitle0"/>
        <w:jc w:val="center"/>
      </w:pPr>
      <w:r>
        <w:t>от 19 декабря 2024 г. N 548</w:t>
      </w:r>
    </w:p>
    <w:p w:rsidR="009C66B5" w:rsidRDefault="009C66B5">
      <w:pPr>
        <w:pStyle w:val="ConsPlusTitle0"/>
        <w:jc w:val="center"/>
      </w:pPr>
    </w:p>
    <w:p w:rsidR="009C66B5" w:rsidRDefault="00F864B2">
      <w:pPr>
        <w:pStyle w:val="ConsPlusTitle0"/>
        <w:jc w:val="center"/>
      </w:pPr>
      <w:r>
        <w:t>ОБ УТВЕРЖДЕНИИ РЕГИОНАЛЬНОЙ ПРОГРАММЫ "АКТИВНОЕ ДОЛГОЛЕТИЕ</w:t>
      </w:r>
    </w:p>
    <w:p w:rsidR="009C66B5" w:rsidRDefault="00F864B2">
      <w:pPr>
        <w:pStyle w:val="ConsPlusTitle0"/>
        <w:jc w:val="center"/>
      </w:pPr>
      <w:r>
        <w:t>В РЕСПУБЛИКЕ СЕВЕРНАЯ ОСЕТИЯ-АЛАНИЯ" НА 2025 - 2030 ГОДЫ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ind w:firstLine="540"/>
        <w:jc w:val="both"/>
      </w:pPr>
      <w:r>
        <w:t>Правительство Республики Северная Осетия-Алания</w:t>
      </w:r>
      <w:r>
        <w:t xml:space="preserve"> постановляет: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1. Утвердить прилагаемую региональную </w:t>
      </w:r>
      <w:hyperlink w:anchor="P30" w:tooltip="РЕГИОНАЛЬНАЯ ПРОГРАММА">
        <w:r>
          <w:rPr>
            <w:color w:val="0000FF"/>
          </w:rPr>
          <w:t>программу</w:t>
        </w:r>
      </w:hyperlink>
      <w:r>
        <w:t xml:space="preserve"> "Активное долголетие в Республике Северная Осетия-Алания" на 2025 - 2030 годы (далее - Региональная программа).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2. Республиканским органам </w:t>
      </w:r>
      <w:r>
        <w:t>исполнительной власти, ответственным за выполнение мероприятий Региональной программы: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обеспечить выполнение соответствующих мероприятий в установленные сроки;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ежеквартально до 10 числа месяца, следующего за отчетным периодом, представлять в Министерство труда и социального развития Республики Северная Осетия-Алания информацию о ходе реализации Региональной программы.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3. Министерству труда и социального развития </w:t>
      </w:r>
      <w:r>
        <w:t>Республики Северная Осетия-Алания ежеквартально до 25 числа месяца, следующего за отчетным периодом, представлять в Правительство Республики Северная Осетия-Алания информацию о ходе реализации Региональной программы.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jc w:val="right"/>
      </w:pPr>
      <w:r>
        <w:t>Председатель Правительства</w:t>
      </w:r>
    </w:p>
    <w:p w:rsidR="009C66B5" w:rsidRDefault="00F864B2">
      <w:pPr>
        <w:pStyle w:val="ConsPlusNormal0"/>
        <w:jc w:val="right"/>
      </w:pPr>
      <w:r>
        <w:t xml:space="preserve">Республики </w:t>
      </w:r>
      <w:r>
        <w:t>Северная Осетия-Алания</w:t>
      </w:r>
    </w:p>
    <w:p w:rsidR="009C66B5" w:rsidRDefault="00F864B2">
      <w:pPr>
        <w:pStyle w:val="ConsPlusNormal0"/>
        <w:jc w:val="right"/>
      </w:pPr>
      <w:r>
        <w:t>Б.ДЖАНАЕВ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9C66B5">
      <w:pPr>
        <w:pStyle w:val="ConsPlusNormal0"/>
        <w:ind w:firstLine="540"/>
        <w:jc w:val="both"/>
      </w:pPr>
    </w:p>
    <w:p w:rsidR="009C66B5" w:rsidRDefault="009C66B5">
      <w:pPr>
        <w:pStyle w:val="ConsPlusNormal0"/>
        <w:ind w:firstLine="540"/>
        <w:jc w:val="both"/>
      </w:pPr>
    </w:p>
    <w:p w:rsidR="009C66B5" w:rsidRDefault="009C66B5">
      <w:pPr>
        <w:pStyle w:val="ConsPlusNormal0"/>
        <w:ind w:firstLine="540"/>
        <w:jc w:val="both"/>
      </w:pP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jc w:val="right"/>
        <w:outlineLvl w:val="0"/>
      </w:pPr>
      <w:r>
        <w:t>Утверждена</w:t>
      </w:r>
    </w:p>
    <w:p w:rsidR="009C66B5" w:rsidRDefault="00F864B2">
      <w:pPr>
        <w:pStyle w:val="ConsPlusNormal0"/>
        <w:jc w:val="right"/>
      </w:pPr>
      <w:r>
        <w:t>Постановлением</w:t>
      </w:r>
    </w:p>
    <w:p w:rsidR="009C66B5" w:rsidRDefault="00F864B2">
      <w:pPr>
        <w:pStyle w:val="ConsPlusNormal0"/>
        <w:jc w:val="right"/>
      </w:pPr>
      <w:r>
        <w:t>Правительства</w:t>
      </w:r>
    </w:p>
    <w:p w:rsidR="009C66B5" w:rsidRDefault="00F864B2">
      <w:pPr>
        <w:pStyle w:val="ConsPlusNormal0"/>
        <w:jc w:val="right"/>
      </w:pPr>
      <w:r>
        <w:t>Республики Северная Осетия-Алания</w:t>
      </w:r>
    </w:p>
    <w:p w:rsidR="009C66B5" w:rsidRDefault="00F864B2">
      <w:pPr>
        <w:pStyle w:val="ConsPlusNormal0"/>
        <w:jc w:val="right"/>
      </w:pPr>
      <w:r>
        <w:t>от 19 декабря 2024 г. N 548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Title0"/>
        <w:jc w:val="center"/>
      </w:pPr>
      <w:bookmarkStart w:id="1" w:name="P30"/>
      <w:bookmarkEnd w:id="1"/>
      <w:r>
        <w:t>РЕГИОНАЛЬНАЯ ПРОГРАММА</w:t>
      </w:r>
    </w:p>
    <w:p w:rsidR="009C66B5" w:rsidRDefault="00F864B2">
      <w:pPr>
        <w:pStyle w:val="ConsPlusTitle0"/>
        <w:jc w:val="center"/>
      </w:pPr>
      <w:r>
        <w:t>"АКТИВНОЕ ДОЛГОЛЕТИЕ В РЕСПУБЛИКЕ СЕВЕРНАЯ ОСЕТИЯ-АЛАНИЯ"</w:t>
      </w:r>
    </w:p>
    <w:p w:rsidR="009C66B5" w:rsidRDefault="00F864B2">
      <w:pPr>
        <w:pStyle w:val="ConsPlusTitle0"/>
        <w:jc w:val="center"/>
      </w:pPr>
      <w:r>
        <w:t>НА 2025 - 2030 ГОДЫ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Title0"/>
        <w:jc w:val="center"/>
        <w:outlineLvl w:val="1"/>
      </w:pPr>
      <w:r>
        <w:t>I. Общие поло</w:t>
      </w:r>
      <w:r>
        <w:t>жения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ind w:firstLine="540"/>
        <w:jc w:val="both"/>
      </w:pPr>
      <w:r>
        <w:t>Значительная часть пожилых людей не находят в обществе применения своим способностям и знаниям, оставив работу, теряют интерес к жизни.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Сложившаяся ситуация требует от человека переосмысления ценностей, отношения к себе и к окружающему, поиска новых путей реализации активности.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Вместе с тем в условиях старения населения имеется множество нерешенных социальных, экономических, культурных и м</w:t>
      </w:r>
      <w:r>
        <w:t>едицинских задач по обеспечению и созданию оптимальных условий жизнедеятельности людей пожилого возраста.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Перечисленные факторы вызывают необходимость определения новых государственных и </w:t>
      </w:r>
      <w:r>
        <w:lastRenderedPageBreak/>
        <w:t>общественных целей и задач в отношении граждан старшего поколения и о</w:t>
      </w:r>
      <w:r>
        <w:t>бщества в целом, направленных не только на обеспечение их основных потребностей для поддержания условий жизнедеятельности, но и на создание условий для активного участия людей старшего возраста в общественно-политической, социальной и иных сферах деятельно</w:t>
      </w:r>
      <w:r>
        <w:t>сти общества.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Для региональной программы "Активное долголетие в Республике Северная Осетия-Алания" используются следующие основные понятия: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региональная программа "Активное долголетие" - система мероприятий и показателей, направленных на обеспечение устойч</w:t>
      </w:r>
      <w:r>
        <w:t>ивого роста продолжительности здоровой жизни граждан старшего поколения и увеличение периода активного долголетия в Республике Северная Осетия-Алания (далее - Региональная программа);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граждане старшего возраста - граждане, проживающие в Республике Северная</w:t>
      </w:r>
      <w:r>
        <w:t xml:space="preserve"> Осетия-Алания: женщины, достигшие возраста 60 лет, и мужчины, достигшие возраста 65 лет;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активное долголетие - состояние социального, экономического, физического и психологического благополучия граждан старшего поколения, которое обеспечивает им возможнос</w:t>
      </w:r>
      <w:r>
        <w:t>ть для удовлетворения потребностей, включения в различные сферы жизни общества и достигается при их активном участии.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Региональная программа реализуются в рамках федерального проекта "Старшее поколение" национального проекта "Семья"</w:t>
      </w:r>
      <w:r>
        <w:t xml:space="preserve"> и предусматривает межведомственное взаимодействие органов исполнительной власти Республики Северная Осетия-Алания и органов местного самоуправления.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Реализация мероприятий Региональной программы создаст условия для самореализации и адаптации людей старшег</w:t>
      </w:r>
      <w:r>
        <w:t>о возраста к современным условиям жизни, более широкого привлечения их в сферу интеллектуальных, экономических, социальных отношений, создаст инфраструктуру для граждан пожилого возраста, способствующую продлению их социальной активности и долголетию, повы</w:t>
      </w:r>
      <w:r>
        <w:t>сит качество жизни.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Срок реализации Региональной программы: 2020 - 2030 годы.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Общее методическое руководство работой по реализации Региональной программы осуществляет Министерство труда и социальной защиты Российской Федерации.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Ответственным исполнителем Р</w:t>
      </w:r>
      <w:r>
        <w:t>егиональной программы в Республике Северная Осетия-Алания является Министерство труда и социального развития Республики Северная Осетия-Алания.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Title0"/>
        <w:jc w:val="center"/>
        <w:outlineLvl w:val="1"/>
      </w:pPr>
      <w:r>
        <w:t>II. Анализ текущей ситуации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ind w:firstLine="540"/>
        <w:jc w:val="both"/>
      </w:pPr>
      <w:r>
        <w:t>В Республике Северная Осетия-Алания развивается система социальной поддержки гражд</w:t>
      </w:r>
      <w:r>
        <w:t>ан, совершенствуются законодательная база и организация социального обслуживания, укрепляется материально-техническая, информационная и кадровая составляющие и т.д.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республике сформирована и развивается многопрофильная сеть учреждений социального обслужи</w:t>
      </w:r>
      <w:r>
        <w:t>вания пожилых людей и инвалидов.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Сеть учреждений социального обслуживания Республики Северная Осетия-Алания включает в себя 22 подведомственных учреждения, ежегодно оказывающих социальные услуги более 62 тыс. жителей республики, в том числе: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стационарные у</w:t>
      </w:r>
      <w:r>
        <w:t>чреждения социального обслуживания: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"Республиканский дом-интернат для престарелых и инвалидов" "Забота";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"Дом-интернат малой вместимости для граждан пожилого возраста и инвалидов" в г. Моздоке на 20 мест;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"Республиканский психоневрологический дом-интернат </w:t>
      </w:r>
      <w:r>
        <w:t>"Милосердие";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lastRenderedPageBreak/>
        <w:t>"Республиканский геронтологический центр" на 80 мест, из них 68 стационарных;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полустационарные учреждения социального обслуживания: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12 комплексных центров социального обслуживания населения - 1 центр в каждом муниципальном территориальном обр</w:t>
      </w:r>
      <w:r>
        <w:t>азовании (4 в г. Владикавказе и 8 в районах республики);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два центра социального обслуживания населения: Центр дневного пребывания граждан пожилого возраста и инвалидов в г. Владикавказе, Республиканский Дом ветеранов - обеспечивают в комплексе потребность граждан пожилого возраста и инвалидов в социально-медицин</w:t>
      </w:r>
      <w:r>
        <w:t>ских и социокультурных услугах;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Республиканский центр реабилитации инвалидов и граждан пожилого возраста с нарушениями опорно-двигательного аппарата на 50 мест, из них 14 стационарных;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два санатория: "Осетия" и "Сосновая роща".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На начало 2024 года в Респуб</w:t>
      </w:r>
      <w:r>
        <w:t>лике Северная Осетия-Алания проживают 678879 человек.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jc w:val="right"/>
        <w:outlineLvl w:val="2"/>
      </w:pPr>
      <w:r>
        <w:t>Таблица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Title0"/>
        <w:jc w:val="center"/>
      </w:pPr>
      <w:r>
        <w:t>Численность населения Республики Северная Осетия-Алания</w:t>
      </w:r>
    </w:p>
    <w:p w:rsidR="009C66B5" w:rsidRDefault="00F864B2">
      <w:pPr>
        <w:pStyle w:val="ConsPlusTitle0"/>
        <w:jc w:val="center"/>
      </w:pPr>
      <w:r>
        <w:t>по полу и возрасту на начало 2024 года</w:t>
      </w:r>
    </w:p>
    <w:p w:rsidR="009C66B5" w:rsidRDefault="009C66B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9"/>
        <w:gridCol w:w="992"/>
        <w:gridCol w:w="934"/>
        <w:gridCol w:w="954"/>
        <w:gridCol w:w="955"/>
        <w:gridCol w:w="935"/>
        <w:gridCol w:w="955"/>
        <w:gridCol w:w="955"/>
        <w:gridCol w:w="935"/>
        <w:gridCol w:w="955"/>
      </w:tblGrid>
      <w:tr w:rsidR="009C66B5">
        <w:tc>
          <w:tcPr>
            <w:tcW w:w="1129" w:type="dxa"/>
            <w:vMerge w:val="restart"/>
          </w:tcPr>
          <w:p w:rsidR="009C66B5" w:rsidRDefault="00F864B2">
            <w:pPr>
              <w:pStyle w:val="ConsPlusNormal0"/>
              <w:jc w:val="center"/>
            </w:pPr>
            <w:r>
              <w:t>Возраст (лет)</w:t>
            </w:r>
          </w:p>
        </w:tc>
        <w:tc>
          <w:tcPr>
            <w:tcW w:w="2880" w:type="dxa"/>
            <w:gridSpan w:val="3"/>
          </w:tcPr>
          <w:p w:rsidR="009C66B5" w:rsidRDefault="00F864B2">
            <w:pPr>
              <w:pStyle w:val="ConsPlusNormal0"/>
              <w:jc w:val="center"/>
            </w:pPr>
            <w:r>
              <w:t>Все население</w:t>
            </w:r>
          </w:p>
        </w:tc>
        <w:tc>
          <w:tcPr>
            <w:tcW w:w="2845" w:type="dxa"/>
            <w:gridSpan w:val="3"/>
          </w:tcPr>
          <w:p w:rsidR="009C66B5" w:rsidRDefault="00F864B2">
            <w:pPr>
              <w:pStyle w:val="ConsPlusNormal0"/>
              <w:jc w:val="center"/>
            </w:pPr>
            <w:r>
              <w:t>Городское население</w:t>
            </w:r>
          </w:p>
        </w:tc>
        <w:tc>
          <w:tcPr>
            <w:tcW w:w="2845" w:type="dxa"/>
            <w:gridSpan w:val="3"/>
          </w:tcPr>
          <w:p w:rsidR="009C66B5" w:rsidRDefault="00F864B2">
            <w:pPr>
              <w:pStyle w:val="ConsPlusNormal0"/>
              <w:jc w:val="center"/>
            </w:pPr>
            <w:r>
              <w:t>Сельское население</w:t>
            </w:r>
          </w:p>
        </w:tc>
      </w:tr>
      <w:tr w:rsidR="009C66B5">
        <w:tc>
          <w:tcPr>
            <w:tcW w:w="1129" w:type="dxa"/>
            <w:vMerge/>
          </w:tcPr>
          <w:p w:rsidR="009C66B5" w:rsidRDefault="009C66B5">
            <w:pPr>
              <w:pStyle w:val="ConsPlusNormal0"/>
            </w:pP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мужчины и женщины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мужчины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женщины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мужчины и женщины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мужчины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женщины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мужчины и женщины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мужчины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женщины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0 - 59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530866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261080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269786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334084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162213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171871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196782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98867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97915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60 - 64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43979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18735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25244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27440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10995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16445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16539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7740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8799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65 - 69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36626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14797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21829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23753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8986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14767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12873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5811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7062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70 - 74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27911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10382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17529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18779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6612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12167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9132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3770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5362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75 - 79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15287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5242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10045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10486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3447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7039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4801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1795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3006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80 - 84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13346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3920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9426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8618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2433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6185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4728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1487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3241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85 - 89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8508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2297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6211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5265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1347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3918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3243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950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2293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90 - 94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2040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568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1472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1069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285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784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971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283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688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95 - 99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288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205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133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100 и старше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6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t>Итого граждан старше трудоспособного возраста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148013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56040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91973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95550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34167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61383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52463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21873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30590</w:t>
            </w:r>
          </w:p>
        </w:tc>
      </w:tr>
      <w:tr w:rsidR="009C66B5">
        <w:tc>
          <w:tcPr>
            <w:tcW w:w="112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992" w:type="dxa"/>
          </w:tcPr>
          <w:p w:rsidR="009C66B5" w:rsidRDefault="00F864B2">
            <w:pPr>
              <w:pStyle w:val="ConsPlusNormal0"/>
              <w:jc w:val="center"/>
            </w:pPr>
            <w:r>
              <w:t>678879</w:t>
            </w:r>
          </w:p>
        </w:tc>
        <w:tc>
          <w:tcPr>
            <w:tcW w:w="934" w:type="dxa"/>
          </w:tcPr>
          <w:p w:rsidR="009C66B5" w:rsidRDefault="00F864B2">
            <w:pPr>
              <w:pStyle w:val="ConsPlusNormal0"/>
              <w:jc w:val="center"/>
            </w:pPr>
            <w:r>
              <w:t>317120</w:t>
            </w:r>
          </w:p>
        </w:tc>
        <w:tc>
          <w:tcPr>
            <w:tcW w:w="954" w:type="dxa"/>
          </w:tcPr>
          <w:p w:rsidR="009C66B5" w:rsidRDefault="00F864B2">
            <w:pPr>
              <w:pStyle w:val="ConsPlusNormal0"/>
              <w:jc w:val="center"/>
            </w:pPr>
            <w:r>
              <w:t>361759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429634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196380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233254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249245</w:t>
            </w:r>
          </w:p>
        </w:tc>
        <w:tc>
          <w:tcPr>
            <w:tcW w:w="935" w:type="dxa"/>
          </w:tcPr>
          <w:p w:rsidR="009C66B5" w:rsidRDefault="00F864B2">
            <w:pPr>
              <w:pStyle w:val="ConsPlusNormal0"/>
              <w:jc w:val="center"/>
            </w:pPr>
            <w:r>
              <w:t>120740</w:t>
            </w:r>
          </w:p>
        </w:tc>
        <w:tc>
          <w:tcPr>
            <w:tcW w:w="955" w:type="dxa"/>
          </w:tcPr>
          <w:p w:rsidR="009C66B5" w:rsidRDefault="00F864B2">
            <w:pPr>
              <w:pStyle w:val="ConsPlusNormal0"/>
              <w:jc w:val="center"/>
            </w:pPr>
            <w:r>
              <w:t>128505</w:t>
            </w:r>
          </w:p>
        </w:tc>
      </w:tr>
    </w:tbl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ind w:firstLine="540"/>
        <w:jc w:val="both"/>
      </w:pPr>
      <w:r>
        <w:t>В структуре населения Республики Северная Осетия-Алания по целевым укрупненным возрастным группам (контингентам) относительно способности к труду преобладает доля населения в трудоспособном возрасте (16 - 59 лет) - 57,85%, в том числ</w:t>
      </w:r>
      <w:r>
        <w:t>е 59,90% мужчин и 55,80% женщин.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21,8% (148013 человек) населения республики составляют люди старше трудоспособного возраста, из них 64,6% - городское население и 35,4% - сельские жители. В структуре населения старшего возраста доминируют женщины, которых на 46,7% больше мужчин.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Доля насе</w:t>
      </w:r>
      <w:r>
        <w:t>ления Республики Северная Осетия-Алания старше 65 лет составляет 15,3%. В соответствии со шкалой демографического старения ООН население республики можно отнести к категории "старого".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Спрос на медицинские и социальные услуги среди данной категории лиц буд</w:t>
      </w:r>
      <w:r>
        <w:t xml:space="preserve">ет ежегодно возрастать, в связи с чем и возникла необходимость разработки и внедрения в республике более эффективных технологий работы с гражданами пожилого возраста, увеличивающих продолжительность и повышающих качество жизни людей старше трудоспособного </w:t>
      </w:r>
      <w:r>
        <w:t>возраста.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За 10 месяцев 2024 года численность граждан пожилого возраста и инвалидов старше 18 лет, которым предоставляются услуги во всех формах социального обслуживания, составила 39237 человек.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Учреждениями социального обслуживания постоянно совершенству</w:t>
      </w:r>
      <w:r>
        <w:t>ются, внедряются новые технологии, направленные на самоактивизацию пожилых граждан и рост адаптивного потенциала.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работе учреждений социального обслуживания активно используются формы работы, направленные на повышение доступности и качества социальных ус</w:t>
      </w:r>
      <w:r>
        <w:t>луг, в том числе в сельской местности, внедряются стационарозамещающие технологии.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целях повышения качества предоставления социальных услуг специалистами 12-комплексных центров социального обслуживания населения (далее - КЦСОН) используется услуга "социа</w:t>
      </w:r>
      <w:r>
        <w:t>льная сиделка", в том числе в 8 сельских КЦСОН.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За 2022 год 141 получателю социальных услуг предоставлено 11436 услуг. За 2023 год 119 получателям социальных услуг предоставлено 10366 услуг. Снижение числа получателей социальных услуг составило 15,6% (22 ч</w:t>
      </w:r>
      <w:r>
        <w:t>еловека), при этом на 7,4% увеличилось количество услуг, предоставляемых одному человеку.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Стационарозамещающая технология "Хоспис на дому" применяется в надомной форме социального обслуживания. В рамках технологии оказывается помощь преимущественно онколог</w:t>
      </w:r>
      <w:r>
        <w:t>ическим и постинсультным больным с выраженным болевым синдромом в терминальной стадии заболевания, подтвержденным медицинскими документами.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За 2022 год услугой воспользовались 32 человека, которым оказано 28834 услуги. За 2023 год - 88 человек, оказано 592</w:t>
      </w:r>
      <w:r>
        <w:t>93 услуги.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2023 году по сравнению с 2022 годом численность воспользовавшихся данной услугой увеличилась в 2,8 раза, количество оказанных услуг возросло в 2,1 раза.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Для граждан, проживающих в отдаленных населенных пунктах, расположенных в горной части рес</w:t>
      </w:r>
      <w:r>
        <w:t>публики и малодоступной местности, в том числе страдающих психическими расстройствами, востребованной формой работы является деятельность Мобильных социальных служб, оказывающих широкий спектр различных услуг, в которых принимают участие специалисты различ</w:t>
      </w:r>
      <w:r>
        <w:t>ного профиля в зависимости от потребности граждан, изучаемой в ходе мониторинга их социально-экономического положения.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В сельских КЦСОН в соответствии с Приказом Министерства труда и социального развития </w:t>
      </w:r>
      <w:r>
        <w:lastRenderedPageBreak/>
        <w:t>Республики Северная Осетия-Алания от 13 сентября 201</w:t>
      </w:r>
      <w:r>
        <w:t xml:space="preserve">9 года N 177-Д "О создании служб "Мобильная бригада" созданы восемь выездных мобильных бригад, оснащенных восемью автомобилями российского производства, приобретенными в рамках федерального </w:t>
      </w:r>
      <w:hyperlink r:id="rId10" w:tooltip="&quot;Паспорт национального проекта &quot;Национальный проект &quot;Демография&quot; {КонсультантПлюс}">
        <w:r>
          <w:rPr>
            <w:color w:val="0000FF"/>
          </w:rPr>
          <w:t>проекта</w:t>
        </w:r>
      </w:hyperlink>
      <w:r>
        <w:t xml:space="preserve"> "Старшее поколение" национального проекта "Демография", в целях доставки лиц старше 65 лет, проживающих в сельской местности, в меди</w:t>
      </w:r>
      <w:r>
        <w:t>цинские организации для проведения скрининговых обследований, помогающих выявить заболевание на ранней стадии, подобрать оптимальное лечение и назначить комплекс профилактических мер.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соответствии с поручением Заместителя Председателя Правительства Росси</w:t>
      </w:r>
      <w:r>
        <w:t>йской Федерации Т.А. Голиковой от 6 октября 2021 года NТГ-П45-13962 Министерством труда и социального развития Республики Северная Осетия-Алания издан Приказ от 1 ноября 2021 года N 350-Д "О порядке использования автотранспорта, приобретенного в рамках фед</w:t>
      </w:r>
      <w:r>
        <w:t>ерального проекта "Старшее поколение" национального проекта "Демография", в том числе для доставки граждан пожилого возраста и инвалидов в организации социального обслуживания, предоставляющие социальные услуги в полустационарной форме.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рамках мероприяти</w:t>
      </w:r>
      <w:r>
        <w:t>й по увеличению периода активного долголетия и продолжительности здоровой жизни мобильными бригадами охвачено: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2023 году - 4946 человек, из них 2927 человек доставлены на медицинские осмотры, 1427 человек доставлены в полустационарные учреждения социальн</w:t>
      </w:r>
      <w:r>
        <w:t>ого обслуживания; к 242 гражданам старше 65 лет, доставлены медицинские работники из медицинских организаций в целях оказания им медицинской помощи на дому; 345 гражданам доставлены лекарственные средства, медицинские изделия, продукты питания; 5 гемодиали</w:t>
      </w:r>
      <w:r>
        <w:t>зных больных по графику, 3 раза в неделю, доставлялись в диализный центр;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за 10 месяцев 2024 года 3785 человек, из них 2208 доставлены на медицинские осмотры, 988 человек доставлены в полустационарные учреждения социального обслуживания; к 272 гражданам ст</w:t>
      </w:r>
      <w:r>
        <w:t>арше 65 лет, доставлены медицинские работники из медицинских организаций в целях оказания им медицинской помощи на дому; 312 гражданам доставлены лекарственные средства, медицинские изделия, продукты питания; 5 гемодиализных больных по графику, 3 раза в не</w:t>
      </w:r>
      <w:r>
        <w:t>делю, доставлялись в диализный центр.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школах родственного ухода на базе 14 организаций, предоставляющих услуги гражданам пожилого возраста и инвалидам (12 КЦСОН и 2 стационарных учреждениях (ГБУ "Республиканский дом-интернат для престарелых и инвалидов "</w:t>
      </w:r>
      <w:r>
        <w:t>Забота", ГБУ "Дом-интернат малой вместимости для граждан пожилого возраста и инвалидов") за 2023 год прошли обучение 322 чел.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2023 году численность граждан, обслуженных организациями, подведомственными Министерству труда и социального развития Республики</w:t>
      </w:r>
      <w:r>
        <w:t xml:space="preserve"> Северная Осетия-Алания, составила 66931 человек, в том числе: из общей численности 44572 получателя услуг - это граждане пожилого возраста и инвалиды старше 18 лет, которым предоставляются услуги во всех формах социального обслуживания.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С 1 сентября 2023 </w:t>
      </w:r>
      <w:r>
        <w:t>года Министерством труда и социального развития Республики Северная Осетия-Алания реализуется система долговременного ухода за гражданами пожилого возраста и инвалидами, нуждающимися в постоянном уходе.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Система долговременного ухода - комплексная поддержка</w:t>
      </w:r>
      <w:r>
        <w:t xml:space="preserve"> пожилых граждан и инвалидов, включающая социальное обслуживание и медицинскую помощь на дому.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Цель системы долговременного ухода - обеспечение каждого человека, полностью или частично утратившего способность к самообслуживанию, системой поддержки самого в</w:t>
      </w:r>
      <w:r>
        <w:t>ысокого качества жизни с максимально возможным уровнем независимости, автономии, участия в деятельности, самореализации и человеческого достоинства. Приоритетным правом на включение в систему долговременного ухода обладают инвалиды и участники Великой Отеч</w:t>
      </w:r>
      <w:r>
        <w:t>ественной войны, ветераны боевых действий, принимавшие участие (содействовавшие выполнению задач) в специальной военной операции (далее - СВО).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2023 году системой долговременного ухода в республике охвачено 200 человек, двое из которых - участники специа</w:t>
      </w:r>
      <w:r>
        <w:t>льной военной операции.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Комплексными центрами социального обслуживания, включенными в пилотный проект, трудоустроено 156 помощников по уходу, предоставляющих услуги гражданам, получающим социальный пакет </w:t>
      </w:r>
      <w:r>
        <w:lastRenderedPageBreak/>
        <w:t>долговременного ухода.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2024 года системой долговре</w:t>
      </w:r>
      <w:r>
        <w:t>менного ухода охвачено 270 человек, из них: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27 человек - 1 уровня нуждаемости;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135 человек - 2 уровня нуждаемости, из них 5 участников СВО;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108 человек - 3 уровня нуждаемости, из них 2 участника СВО.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рамках системы долговременного ухода задействованы 229 помощников по уходу, из которых 133 - родственники, осуществляющие уход за близкими, утратившими способность к самообслуживанию.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Охват пожилых граждан технологиями, направленными на увеличение период</w:t>
      </w:r>
      <w:r>
        <w:t>а активного долголетия и продолжительности здоровой жизни граждан старшего поколения в Республике Северная Осетия-Алания за 10 месяцев 2024 года, составил 6435 человек.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рамках реализации концепции активного долголетия организуются мероприятия по освоению</w:t>
      </w:r>
      <w:r>
        <w:t xml:space="preserve"> азов и (или) развитию и совершенствованию навыков владения иностранными языками, консультационно-просветительской деятельности по ознакомлению граждан старшего возраста и компьютерной грамотностью с целью их адаптации к требованиям цифрового общества.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Во </w:t>
      </w:r>
      <w:r>
        <w:t>всех учреждениях социального обслуживания населения республики организованы клубы и кружки по интересам (шахматно-шашечные, танцевальные, читательские, хоровые).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Активно работают клубы путешественников "Старость меня дома не застанет" ("Социальный туризм")</w:t>
      </w:r>
      <w:r>
        <w:t>. Для граждан пожилого возраста и инвалидов организуюся экскурсионные поездки по достопримечательностям, памятным местам родной республики и т.д.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процессе реабилитации используются все виды туризма, в том числе паломнический и познавательный. Паломническ</w:t>
      </w:r>
      <w:r>
        <w:t>ий туризм предусматривает посещение мест, имеющих особое религиозное значение. Пожилые граждане, интересующиеся вопросами духовности, веры, посещают Аланский мужской монастырь в п. Верхний Фиагдон, Аланский женский монастырь в г. Алагир, рощу Святого Хетаг</w:t>
      </w:r>
      <w:r>
        <w:t>а и др.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Познавательный туризм ориентирован на посещение исторических, культурных или географических достопримечательностей. Специалистами учреждений социального обслуживания организуются экскурсионные поездки в музеи и по достопримечательным местам республ</w:t>
      </w:r>
      <w:r>
        <w:t>ики. Популярны - отдых на природе, познавательные экскурсии по Кобанскому, Дарьяльскому, Дигорскому и другим ущельям.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2022 году услугой воспользовались 365 человек, которым было организовано 66 поездок, в 2023 году для 382 человек организовано 69 поездок, за 10 месяцев 2024 года для 1693 человек организовано 87 поездок.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Для получателей услуг организованы посещения конце</w:t>
      </w:r>
      <w:r>
        <w:t>ртов, спектаклей, выставок. Охват граждан данной услугой в 2022 году составил 697 человек, в 2023 году - 865 человек, по состоянию на ноябрь 2024 года охват граждан составил 699 человек.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Спортивный туризм - активный отдых, целенаправленные виды физической </w:t>
      </w:r>
      <w:r>
        <w:t>подготовки и упражнений, тренировки. Пожилым гражданам нравится посещать дендрарий, где можно воспользоваться взятыми напрокат велосипедами, погулять по аллеям. Во всех учреждениях социального обслуживания республики востребованным занятием для граждан ста</w:t>
      </w:r>
      <w:r>
        <w:t>ршего поколения являются групповые занятия скандинавской ходьбой. Занятия проводятся в парках, на набережной р. Терек, дендрарий. Места проведения занятий находятся в шаговой доступности, рядом с жилыми массивами. В парки, находящиеся на расстоянии, пожилы</w:t>
      </w:r>
      <w:r>
        <w:t>е граждане доставляются транспортом учреждений социального обслуживания.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2022 году 276 граждан старше трудоспособного возраста занимались скандинавской ходьбой в рамках секций, созданных в учреждениях социального обслуживания, в 2023 году - 352 человека.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2024 году скандинавской ходьбой занимаются 296 граждан старше трудоспособного возраста.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lastRenderedPageBreak/>
        <w:t xml:space="preserve">В целях реализации региональной </w:t>
      </w:r>
      <w:hyperlink r:id="rId11" w:tooltip="Постановление Правительства Республики Северная Осетия-Алания от 20.08.2021 N 265 (ред. от 20.12.2022) &quot;Об утверждении Региональной программы Республики Северная Осетия-Алания &quot;Повышение уровня финансовой грамотности населения Республики Северная Осетия-Алания">
        <w:r>
          <w:rPr>
            <w:color w:val="0000FF"/>
          </w:rPr>
          <w:t>программы</w:t>
        </w:r>
      </w:hyperlink>
      <w:r>
        <w:t xml:space="preserve"> "Повышение уровня </w:t>
      </w:r>
      <w:r>
        <w:t>финансовой грамотности населения Республики Северная Осетия-Алания на 2021-2023 годы, утвержденной постановлением Правительства Республики Северная Осетия-Алания от 20 августа 2021 года N 265, для граждан предпенсионного возраста, граждан старше трудоспосо</w:t>
      </w:r>
      <w:r>
        <w:t xml:space="preserve">бного возраста, инвалидов и других получателей социальных услуг Отделением Национальный банк по Республике Северная Осетия-Алания Южного главного управления Центрального банка Российской Федерации в учреждениях социального обслуживания Республики Северная </w:t>
      </w:r>
      <w:r>
        <w:t>Осетия-Алания в формате вебинаров проводились онлайн-занятия по финансовой грамотности.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На занятиях участники узнают, как безопасно и эффективно пользоваться банковскими услугами, выбирать финансовые инструменты, использовать современные онлайн-технологии </w:t>
      </w:r>
      <w:r>
        <w:t>и защищаться от мошенников.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Занятия дают возможность узнать об основных видах финансового мошенничества и способах похищения злоумышленниками конфиденциальной информации для получения доступа к средствам.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Цель занятий - повышение уровня финансовой грамотно</w:t>
      </w:r>
      <w:r>
        <w:t>сти среди граждан старше трудоспособного возраста, преодоление неуверенности и непонимания современных финансовых технологий, формирование основных принципов и правил принятия решений по использованию финансовых продуктов и услуг.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занятиях приняли участи</w:t>
      </w:r>
      <w:r>
        <w:t>е в 2022 году более 1000 граждан старше трудоспособного возраста и инвалидов, в 2023 году - 1023 человека, за 10 месяцев 2024 года - 1521 человек.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С 2022 года специалистами учреждений социального обслуживания реализуются мероприятия по вовлечению активных </w:t>
      </w:r>
      <w:r>
        <w:t xml:space="preserve">граждан "серебряного" возраста в волонтерскую деятельность. С целью психологической адаптации пожилого человека в обществе и повышения уровня их жизни граждане старше трудоспособного возраста, участвующие в движении "серебряное волонтерство", осуществляют </w:t>
      </w:r>
      <w:r>
        <w:t>добровольческую поддержку пожилых граждан.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Волонтерами и добровольцами для получателей услуг государственного бюджетного учреждения социального обслуживания Республики Северная Осетия-Алания "Республиканский геронтологический центр" проводятся концертные п</w:t>
      </w:r>
      <w:r>
        <w:t>рограммы, посвященные календарным праздникам, памятным датам, литературные и музыкальные вечера, вечера поэзии, беседы, экологические уроки, др. тематические вечера.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государственном бюджетном учреждении социального обслуживания Республики Северная Осетия</w:t>
      </w:r>
      <w:r>
        <w:t>-Алания "Республиканский дом-интернат для престарелых и инвалидов "Забота" (далее - ГБУ "РДИ "Забота") получатели социальных услуг не только получают помощь, но и сами ее оказывают.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Членами волонтерского движения "Забота" для получателей социальных услуг Г</w:t>
      </w:r>
      <w:r>
        <w:t>БУ "РДИ "Забота", других учреждений социального обслуживания Республики Северная Осетия-Алания проводятся различные культурно-досуговые мероприятия: спектакли, концерты, мероприятия, посвященные различным праздничным датам.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2022 году участие в "серебряно</w:t>
      </w:r>
      <w:r>
        <w:t>м" волонтерстве приняли 123 человека старше трудоспособного возраста, в 2023 году - 212 человек, по состоянию на ноябрь 2024 года - 229 человек.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Для граждан, проживающих в отдаленных населенных пунктах, расположенных в горной части республики и в малодосту</w:t>
      </w:r>
      <w:r>
        <w:t>пной местности, в том числе страдающих психическими расстройствами, востребованной формой работы является деятельность мобильных социальных служб, оказывающих широкий спектр различных услуг, в которых принимают участие специалисты различного профиля в зави</w:t>
      </w:r>
      <w:r>
        <w:t>симости от потребности граждан, изучаемой в ходе мониторинга их социально-экономического положения.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Мобильными социальными службами в 2021 году осуществлены 273 выезда, обслужено 2839 граждан старше трудоспособного возраста и инвалидов. В 2022 году осущест</w:t>
      </w:r>
      <w:r>
        <w:t xml:space="preserve">влены 352 выезда и обслужено 2990 человек. В 2023 году количество выездов составило 475, а количество обслуженных граждан - 2868. За 10 </w:t>
      </w:r>
      <w:r>
        <w:lastRenderedPageBreak/>
        <w:t>месяцев 2024 года осуществлены 347 выездов, помощь получили 2429 человек.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Основная задача мобильной социальной службы - </w:t>
      </w:r>
      <w:r>
        <w:t>решение возникших проблем и мобилизация собственных возможностей граждан по преодолению социальных рисков и снижению социальной напряженности.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Одним из актуальных направлений подпрограммы является совершенствование медицинской помощи гражданам старшего пок</w:t>
      </w:r>
      <w:r>
        <w:t>оления на основе мониторинга состояния их здоровья, проводимого в рамках профилактических осмотров (не реже одного раза в год), а также диспансерного наблюдения лиц старше трудоспособного возраста.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2023 году профилактическими осмотрами, включая диспансер</w:t>
      </w:r>
      <w:r>
        <w:t>изацию, охвачено 99406 граждан (64,8%) старше трудоспособного возраста и 80% из их числа находятся под диспансерным наблюдением (73524 человека). За 10 месяцев 2024 года 96506 граждан старше трудоспособного возраста охвачено профилактическими осмотрами, вк</w:t>
      </w:r>
      <w:r>
        <w:t>лючая диспансеризацию, и 93% (60223 человека) граждан старше трудоспособного возраста, у которых выявлены заболевания и патологические состояния, находятся под диспансерным наблюдением.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 xml:space="preserve">Учитывая актуальность проблемы заболеваемости пневмонией и смертности </w:t>
      </w:r>
      <w:r>
        <w:t>от нее, для лиц пожилого возраста с хроническими заболеваниями за счет наличия у них дополнительных фоновых факторов риска, повышающих восприимчивость к инфекции и ухудшающих прогноз, организовано проведение вакцинация против пневмококковой инфекции гражда</w:t>
      </w:r>
      <w:r>
        <w:t>н старше трудоспособного возраста из групп риска.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организациях социального обслуживания проживают 253 человека старше трудоспособного возраста, страдающих хроническими легочными заболеваниями, подлежащих вакцинации против пневмококковой инфекции. За период 2019 - 2023 годы 184 человека старше трудоспосо</w:t>
      </w:r>
      <w:r>
        <w:t>бного возраста, проживающих в организациях социального обслуживания и страдающих хроническими легочными заболеваниями, вакцинированы против пневмококковой инфекции. В 2024 году вакцинированы еще 69 человек.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Республике Северная Осетия-Алания в рамках феде</w:t>
      </w:r>
      <w:r>
        <w:t xml:space="preserve">рального </w:t>
      </w:r>
      <w:hyperlink r:id="rId12" w:tooltip="&quot;Паспорт национального проекта &quot;Национальный проект &quot;Демография&quot; {КонсультантПлюс}">
        <w:r>
          <w:rPr>
            <w:color w:val="0000FF"/>
          </w:rPr>
          <w:t>проекта</w:t>
        </w:r>
      </w:hyperlink>
      <w:r>
        <w:t xml:space="preserve"> "Старшее поколение" национального проекта "Демография" со</w:t>
      </w:r>
      <w:r>
        <w:t>здана гериатрическая служба, обеспечивающей оказание медицинской помощи по профилю "гериатрия" пациентам пожилого и старческого возраста при наличии старческой астении, с целью сохранения или восстановления их способности к самообслуживанию, физической и ф</w:t>
      </w:r>
      <w:r>
        <w:t>ункциональной активности, независимости от посторонней помощи в повседневной жизни.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государственном бюджетном учреждении здравоохранения "Пригородная центральная районная больница" Министерства здравоохранения Республики Северная Осетия-Алания создан гер</w:t>
      </w:r>
      <w:r>
        <w:t xml:space="preserve">иатрический центр и гериатрическое отделение, 9 гериатрических кабинетов в медицинских организациях на 40 гериатрических коек круглосуточного стационара (15 коек в государственном бюджетном учреждении здравоохранения "Республиканская клиническая больница" </w:t>
      </w:r>
      <w:r>
        <w:t>Министерства здравоохранения Республики Северная Осетия-Алания и 25 коек в государственном бюджетном учреждении здравоохранения "Пригородная центральная районная больница" Министерства здравоохранения Республики Северная Осетия-Алания), на которых оздоровл</w:t>
      </w:r>
      <w:r>
        <w:t>ение получили 952 гражданина старше трудоспособного возраста в 2023 году и за 10 месяцев 2024 года - 1080 граждан старше трудоспособного возраста.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Значительному повышению эффективности реализации мероприятий по увеличению периода активного долголетия и про</w:t>
      </w:r>
      <w:r>
        <w:t>должительности здоровой жизни граждан пожилого возраста в Республике Северная Осетия-Алания будет организация межведомственного взаимодействия по принципу "одного окна", которая позволит обеспечить уход за гражданами пожилого возраста и их досуговую занято</w:t>
      </w:r>
      <w:r>
        <w:t>сть.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В ментальности кавказских народов присутствует глубокое уважение к старшим. Помочь пожилому человеку, поддержать его, выразить уважение - это качества, воспитываемые с раннего детства. Задача органов государственной власти направлять, координировать м</w:t>
      </w:r>
      <w:r>
        <w:t>ероприятия по укреплению здоровья, увеличению периода активного долголетия и продолжительности здоровой жизни жителей республики, чему будет способствовать региональная программа.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Title0"/>
        <w:jc w:val="center"/>
        <w:outlineLvl w:val="1"/>
      </w:pPr>
      <w:r>
        <w:lastRenderedPageBreak/>
        <w:t>III. Цели и задачи Региональной программы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ind w:firstLine="540"/>
        <w:jc w:val="both"/>
      </w:pPr>
      <w:r>
        <w:t>Целями реализации Региональной п</w:t>
      </w:r>
      <w:r>
        <w:t>рограммы является увеличение периода активного долголетия и продолжительности здоровой жизни: ожидаемая продолжительность жизни при рождении увеличится к 2030 году до 78 лет; создание условий для самореализации, самоактуализации пожилых граждан, обеспечени</w:t>
      </w:r>
      <w:r>
        <w:t>е активной, качественной жизни, посредством взаимодействия семьи, общественности, государственных и негосударственных структур; формирование в Республике Северная Осетия-Алания условий, способствующих обеспечению граждан пожилого возраста, утративших спосо</w:t>
      </w:r>
      <w:r>
        <w:t>бность к самообслуживанию, качественным уходом, повышение доступности и эффективности социальных и медицинских услуг.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Достижение указанных целей обеспечивается решением следующих задач: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продление активного долголетия граждан старшего поколения, создание ус</w:t>
      </w:r>
      <w:r>
        <w:t>ловий для реализации их личностного потенциала;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охрана здоровья граждан старшего поколения, развитие медицинской помощи, в том числе по профилю "гериатрия";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развитие социальных услуг для граждан старшего поколения, продлевающих их здоровую жизнь и обеспечи</w:t>
      </w:r>
      <w:r>
        <w:t>вающих качественный уход;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повышение финансовой обеспеченности граждан старшего поколения, создание условий для их занятости;</w:t>
      </w:r>
    </w:p>
    <w:p w:rsidR="009C66B5" w:rsidRDefault="00F864B2">
      <w:pPr>
        <w:pStyle w:val="ConsPlusNormal0"/>
        <w:spacing w:before="200"/>
        <w:ind w:firstLine="540"/>
        <w:jc w:val="both"/>
      </w:pPr>
      <w:r>
        <w:t>развитие инфраструктуры для качественной и безопасной жизни граждан старшего поколения.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Title0"/>
        <w:jc w:val="center"/>
        <w:outlineLvl w:val="1"/>
      </w:pPr>
      <w:r>
        <w:t>IV. Показатели Региональной программы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ind w:firstLine="540"/>
        <w:jc w:val="both"/>
      </w:pPr>
      <w:r>
        <w:t>Оце</w:t>
      </w:r>
      <w:r>
        <w:t>нка реализации мероприятий Региональной программы осуществляется достижением следующих показателей.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jc w:val="right"/>
      </w:pPr>
      <w:r>
        <w:t>Таблица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9C66B5">
      <w:pPr>
        <w:pStyle w:val="ConsPlusNormal0"/>
        <w:sectPr w:rsidR="009C66B5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4422"/>
        <w:gridCol w:w="1471"/>
        <w:gridCol w:w="1290"/>
        <w:gridCol w:w="862"/>
        <w:gridCol w:w="776"/>
        <w:gridCol w:w="776"/>
        <w:gridCol w:w="783"/>
        <w:gridCol w:w="776"/>
        <w:gridCol w:w="784"/>
        <w:gridCol w:w="850"/>
      </w:tblGrid>
      <w:tr w:rsidR="009C66B5">
        <w:tc>
          <w:tcPr>
            <w:tcW w:w="594" w:type="dxa"/>
            <w:vMerge w:val="restart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N</w:t>
            </w:r>
          </w:p>
          <w:p w:rsidR="009C66B5" w:rsidRDefault="00F864B2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4422" w:type="dxa"/>
            <w:vMerge w:val="restart"/>
          </w:tcPr>
          <w:p w:rsidR="009C66B5" w:rsidRDefault="00F864B2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1471" w:type="dxa"/>
            <w:vMerge w:val="restart"/>
          </w:tcPr>
          <w:p w:rsidR="009C66B5" w:rsidRDefault="00F864B2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2152" w:type="dxa"/>
            <w:gridSpan w:val="2"/>
          </w:tcPr>
          <w:p w:rsidR="009C66B5" w:rsidRDefault="00F864B2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4745" w:type="dxa"/>
            <w:gridSpan w:val="6"/>
          </w:tcPr>
          <w:p w:rsidR="009C66B5" w:rsidRDefault="00F864B2">
            <w:pPr>
              <w:pStyle w:val="ConsPlusNormal0"/>
              <w:jc w:val="center"/>
            </w:pPr>
            <w:r>
              <w:t>Значения показателей по годам реализации Региональной программы</w:t>
            </w:r>
          </w:p>
        </w:tc>
      </w:tr>
      <w:tr w:rsidR="009C66B5">
        <w:tc>
          <w:tcPr>
            <w:tcW w:w="594" w:type="dxa"/>
            <w:vMerge/>
          </w:tcPr>
          <w:p w:rsidR="009C66B5" w:rsidRDefault="009C66B5">
            <w:pPr>
              <w:pStyle w:val="ConsPlusNormal0"/>
            </w:pPr>
          </w:p>
        </w:tc>
        <w:tc>
          <w:tcPr>
            <w:tcW w:w="4422" w:type="dxa"/>
            <w:vMerge/>
          </w:tcPr>
          <w:p w:rsidR="009C66B5" w:rsidRDefault="009C66B5">
            <w:pPr>
              <w:pStyle w:val="ConsPlusNormal0"/>
            </w:pPr>
          </w:p>
        </w:tc>
        <w:tc>
          <w:tcPr>
            <w:tcW w:w="1471" w:type="dxa"/>
            <w:vMerge/>
          </w:tcPr>
          <w:p w:rsidR="009C66B5" w:rsidRDefault="009C66B5">
            <w:pPr>
              <w:pStyle w:val="ConsPlusNormal0"/>
            </w:pPr>
          </w:p>
        </w:tc>
        <w:tc>
          <w:tcPr>
            <w:tcW w:w="1290" w:type="dxa"/>
          </w:tcPr>
          <w:p w:rsidR="009C66B5" w:rsidRDefault="00F864B2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862" w:type="dxa"/>
          </w:tcPr>
          <w:p w:rsidR="009C66B5" w:rsidRDefault="00F864B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783" w:type="dxa"/>
          </w:tcPr>
          <w:p w:rsidR="009C66B5" w:rsidRDefault="00F864B2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784" w:type="dxa"/>
          </w:tcPr>
          <w:p w:rsidR="009C66B5" w:rsidRDefault="00F864B2">
            <w:pPr>
              <w:pStyle w:val="ConsPlusNormal0"/>
              <w:jc w:val="center"/>
            </w:pPr>
            <w:r>
              <w:t>2029</w:t>
            </w:r>
          </w:p>
        </w:tc>
        <w:tc>
          <w:tcPr>
            <w:tcW w:w="850" w:type="dxa"/>
          </w:tcPr>
          <w:p w:rsidR="009C66B5" w:rsidRDefault="00F864B2">
            <w:pPr>
              <w:pStyle w:val="ConsPlusNormal0"/>
              <w:jc w:val="center"/>
            </w:pPr>
            <w:r>
              <w:t>2030</w:t>
            </w:r>
          </w:p>
        </w:tc>
      </w:tr>
      <w:tr w:rsidR="009C66B5">
        <w:tc>
          <w:tcPr>
            <w:tcW w:w="594" w:type="dxa"/>
          </w:tcPr>
          <w:p w:rsidR="009C66B5" w:rsidRDefault="00F864B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422" w:type="dxa"/>
          </w:tcPr>
          <w:p w:rsidR="009C66B5" w:rsidRDefault="00F864B2">
            <w:pPr>
              <w:pStyle w:val="ConsPlusNormal0"/>
            </w:pPr>
            <w:r>
              <w:t>Ожидаемая продолжительность жизни при рождении увеличится к 2030 году до 78 лет</w:t>
            </w:r>
          </w:p>
        </w:tc>
        <w:tc>
          <w:tcPr>
            <w:tcW w:w="1471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1290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862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76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76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83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76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84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850" w:type="dxa"/>
          </w:tcPr>
          <w:p w:rsidR="009C66B5" w:rsidRDefault="009C66B5">
            <w:pPr>
              <w:pStyle w:val="ConsPlusNormal0"/>
            </w:pPr>
          </w:p>
        </w:tc>
      </w:tr>
      <w:tr w:rsidR="009C66B5">
        <w:tc>
          <w:tcPr>
            <w:tcW w:w="594" w:type="dxa"/>
          </w:tcPr>
          <w:p w:rsidR="009C66B5" w:rsidRDefault="00F864B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422" w:type="dxa"/>
          </w:tcPr>
          <w:p w:rsidR="009C66B5" w:rsidRDefault="00F864B2">
            <w:pPr>
              <w:pStyle w:val="ConsPlusNormal0"/>
            </w:pPr>
            <w:r>
              <w:t>Доля граждан старшего поколения, вовлеченных в Региональную программу, к 2030 году составит не менее 20,8 процента</w:t>
            </w:r>
          </w:p>
        </w:tc>
        <w:tc>
          <w:tcPr>
            <w:tcW w:w="1471" w:type="dxa"/>
          </w:tcPr>
          <w:p w:rsidR="009C66B5" w:rsidRDefault="00F864B2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290" w:type="dxa"/>
          </w:tcPr>
          <w:p w:rsidR="009C66B5" w:rsidRDefault="00F864B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62" w:type="dxa"/>
          </w:tcPr>
          <w:p w:rsidR="009C66B5" w:rsidRDefault="00F864B2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17,5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18,1</w:t>
            </w:r>
          </w:p>
        </w:tc>
        <w:tc>
          <w:tcPr>
            <w:tcW w:w="783" w:type="dxa"/>
          </w:tcPr>
          <w:p w:rsidR="009C66B5" w:rsidRDefault="00F864B2">
            <w:pPr>
              <w:pStyle w:val="ConsPlusNormal0"/>
              <w:jc w:val="center"/>
            </w:pPr>
            <w:r>
              <w:t>18,8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19,5</w:t>
            </w:r>
          </w:p>
        </w:tc>
        <w:tc>
          <w:tcPr>
            <w:tcW w:w="784" w:type="dxa"/>
          </w:tcPr>
          <w:p w:rsidR="009C66B5" w:rsidRDefault="00F864B2">
            <w:pPr>
              <w:pStyle w:val="ConsPlusNormal0"/>
              <w:jc w:val="center"/>
            </w:pPr>
            <w:r>
              <w:t>20,2</w:t>
            </w:r>
          </w:p>
        </w:tc>
        <w:tc>
          <w:tcPr>
            <w:tcW w:w="850" w:type="dxa"/>
          </w:tcPr>
          <w:p w:rsidR="009C66B5" w:rsidRDefault="00F864B2">
            <w:pPr>
              <w:pStyle w:val="ConsPlusNormal0"/>
              <w:jc w:val="center"/>
            </w:pPr>
            <w:r>
              <w:t>20,8</w:t>
            </w:r>
          </w:p>
        </w:tc>
      </w:tr>
      <w:tr w:rsidR="009C66B5">
        <w:tc>
          <w:tcPr>
            <w:tcW w:w="594" w:type="dxa"/>
          </w:tcPr>
          <w:p w:rsidR="009C66B5" w:rsidRDefault="00F864B2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422" w:type="dxa"/>
          </w:tcPr>
          <w:p w:rsidR="009C66B5" w:rsidRDefault="00F864B2">
            <w:pPr>
              <w:pStyle w:val="ConsPlusNormal0"/>
            </w:pPr>
            <w:r>
              <w:t>Доля граждан старшего поколения, получивших социальное обслуживание, в общем числе граждан старшего поколения, признанных нуждающимися в социальном обслуживании, к 2030 году составит 100 процентов</w:t>
            </w:r>
          </w:p>
        </w:tc>
        <w:tc>
          <w:tcPr>
            <w:tcW w:w="1471" w:type="dxa"/>
          </w:tcPr>
          <w:p w:rsidR="009C66B5" w:rsidRDefault="00F864B2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290" w:type="dxa"/>
          </w:tcPr>
          <w:p w:rsidR="009C66B5" w:rsidRDefault="00F864B2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862" w:type="dxa"/>
          </w:tcPr>
          <w:p w:rsidR="009C66B5" w:rsidRDefault="00F864B2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83" w:type="dxa"/>
          </w:tcPr>
          <w:p w:rsidR="009C66B5" w:rsidRDefault="00F864B2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84" w:type="dxa"/>
          </w:tcPr>
          <w:p w:rsidR="009C66B5" w:rsidRDefault="00F864B2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9C66B5" w:rsidRDefault="00F864B2">
            <w:pPr>
              <w:pStyle w:val="ConsPlusNormal0"/>
              <w:jc w:val="center"/>
            </w:pPr>
            <w:r>
              <w:t>100</w:t>
            </w:r>
          </w:p>
        </w:tc>
      </w:tr>
      <w:tr w:rsidR="009C66B5">
        <w:tc>
          <w:tcPr>
            <w:tcW w:w="594" w:type="dxa"/>
          </w:tcPr>
          <w:p w:rsidR="009C66B5" w:rsidRDefault="00F864B2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4422" w:type="dxa"/>
          </w:tcPr>
          <w:p w:rsidR="009C66B5" w:rsidRDefault="00F864B2">
            <w:pPr>
              <w:pStyle w:val="ConsPlusNormal0"/>
            </w:pPr>
            <w:r>
              <w:t>Доля пожилых граждан и инвалидов, получающих долговременный уход, от общего числа пожилых граждан и инвалидов, нуждающихся в долговременном уходе, к 2030 году составит не менее 4 процентов</w:t>
            </w:r>
          </w:p>
        </w:tc>
        <w:tc>
          <w:tcPr>
            <w:tcW w:w="1471" w:type="dxa"/>
          </w:tcPr>
          <w:p w:rsidR="009C66B5" w:rsidRDefault="00F864B2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290" w:type="dxa"/>
          </w:tcPr>
          <w:p w:rsidR="009C66B5" w:rsidRDefault="00F864B2">
            <w:pPr>
              <w:pStyle w:val="ConsPlusNormal0"/>
              <w:jc w:val="center"/>
            </w:pPr>
            <w:r>
              <w:t>2,8</w:t>
            </w:r>
          </w:p>
        </w:tc>
        <w:tc>
          <w:tcPr>
            <w:tcW w:w="862" w:type="dxa"/>
          </w:tcPr>
          <w:p w:rsidR="009C66B5" w:rsidRDefault="00F864B2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3,7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3,8</w:t>
            </w:r>
          </w:p>
        </w:tc>
        <w:tc>
          <w:tcPr>
            <w:tcW w:w="783" w:type="dxa"/>
          </w:tcPr>
          <w:p w:rsidR="009C66B5" w:rsidRDefault="00F864B2">
            <w:pPr>
              <w:pStyle w:val="ConsPlusNormal0"/>
              <w:jc w:val="center"/>
            </w:pPr>
            <w:r>
              <w:t>3,9</w:t>
            </w:r>
          </w:p>
        </w:tc>
        <w:tc>
          <w:tcPr>
            <w:tcW w:w="776" w:type="dxa"/>
          </w:tcPr>
          <w:p w:rsidR="009C66B5" w:rsidRDefault="00F864B2">
            <w:pPr>
              <w:pStyle w:val="ConsPlusNormal0"/>
              <w:jc w:val="center"/>
            </w:pPr>
            <w:r>
              <w:t>3,9</w:t>
            </w:r>
          </w:p>
        </w:tc>
        <w:tc>
          <w:tcPr>
            <w:tcW w:w="784" w:type="dxa"/>
          </w:tcPr>
          <w:p w:rsidR="009C66B5" w:rsidRDefault="00F864B2">
            <w:pPr>
              <w:pStyle w:val="ConsPlusNormal0"/>
              <w:jc w:val="center"/>
            </w:pPr>
            <w:r>
              <w:t>3,9</w:t>
            </w:r>
          </w:p>
        </w:tc>
        <w:tc>
          <w:tcPr>
            <w:tcW w:w="850" w:type="dxa"/>
          </w:tcPr>
          <w:p w:rsidR="009C66B5" w:rsidRDefault="00F864B2">
            <w:pPr>
              <w:pStyle w:val="ConsPlusNormal0"/>
              <w:jc w:val="center"/>
            </w:pPr>
            <w:r>
              <w:t>4,0</w:t>
            </w:r>
          </w:p>
        </w:tc>
      </w:tr>
      <w:tr w:rsidR="009C66B5">
        <w:tc>
          <w:tcPr>
            <w:tcW w:w="594" w:type="dxa"/>
          </w:tcPr>
          <w:p w:rsidR="009C66B5" w:rsidRDefault="00F864B2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4422" w:type="dxa"/>
          </w:tcPr>
          <w:p w:rsidR="009C66B5" w:rsidRDefault="00F864B2">
            <w:pPr>
              <w:pStyle w:val="ConsPlusNormal0"/>
            </w:pPr>
            <w:r>
              <w:t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указанной возрастной категории к 2030 году составит 45 процентов</w:t>
            </w:r>
          </w:p>
        </w:tc>
        <w:tc>
          <w:tcPr>
            <w:tcW w:w="1471" w:type="dxa"/>
          </w:tcPr>
          <w:p w:rsidR="009C66B5" w:rsidRDefault="00F864B2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290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862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76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76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83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76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84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850" w:type="dxa"/>
          </w:tcPr>
          <w:p w:rsidR="009C66B5" w:rsidRDefault="00F864B2">
            <w:pPr>
              <w:pStyle w:val="ConsPlusNormal0"/>
              <w:jc w:val="center"/>
            </w:pPr>
            <w:r>
              <w:t>45</w:t>
            </w:r>
          </w:p>
        </w:tc>
      </w:tr>
      <w:tr w:rsidR="009C66B5">
        <w:tc>
          <w:tcPr>
            <w:tcW w:w="594" w:type="dxa"/>
          </w:tcPr>
          <w:p w:rsidR="009C66B5" w:rsidRDefault="00F864B2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4422" w:type="dxa"/>
          </w:tcPr>
          <w:p w:rsidR="009C66B5" w:rsidRDefault="00F864B2">
            <w:pPr>
              <w:pStyle w:val="ConsPlusNormal0"/>
            </w:pPr>
            <w:r>
              <w:t>Обеспеченность геронтологическими койками к 2030 году составит 2,7 единицы на 10000 населения в возрасте 60 лет и старше</w:t>
            </w:r>
          </w:p>
        </w:tc>
        <w:tc>
          <w:tcPr>
            <w:tcW w:w="1471" w:type="dxa"/>
          </w:tcPr>
          <w:p w:rsidR="009C66B5" w:rsidRDefault="00F864B2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290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862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76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76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83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76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784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850" w:type="dxa"/>
          </w:tcPr>
          <w:p w:rsidR="009C66B5" w:rsidRDefault="00F864B2">
            <w:pPr>
              <w:pStyle w:val="ConsPlusNormal0"/>
              <w:jc w:val="center"/>
            </w:pPr>
            <w:r>
              <w:t>2,7</w:t>
            </w:r>
          </w:p>
        </w:tc>
      </w:tr>
    </w:tbl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Title0"/>
        <w:jc w:val="center"/>
        <w:outlineLvl w:val="1"/>
      </w:pPr>
      <w:r>
        <w:t>V. Мероприятия Региональной программы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Normal0"/>
        <w:jc w:val="right"/>
        <w:outlineLvl w:val="2"/>
      </w:pPr>
      <w:r>
        <w:lastRenderedPageBreak/>
        <w:t>Таблица</w:t>
      </w:r>
    </w:p>
    <w:p w:rsidR="009C66B5" w:rsidRDefault="009C66B5">
      <w:pPr>
        <w:pStyle w:val="ConsPlusNormal0"/>
        <w:ind w:firstLine="540"/>
        <w:jc w:val="both"/>
      </w:pPr>
    </w:p>
    <w:p w:rsidR="009C66B5" w:rsidRDefault="00F864B2">
      <w:pPr>
        <w:pStyle w:val="ConsPlusTitle0"/>
        <w:jc w:val="center"/>
      </w:pPr>
      <w:r>
        <w:t>План мероприятий реализации региональной программы</w:t>
      </w:r>
    </w:p>
    <w:p w:rsidR="009C66B5" w:rsidRDefault="00F864B2">
      <w:pPr>
        <w:pStyle w:val="ConsPlusTitle0"/>
        <w:jc w:val="center"/>
      </w:pPr>
      <w:r>
        <w:t>Республики Северная Осетия-Алания "Активное долголетие</w:t>
      </w:r>
    </w:p>
    <w:p w:rsidR="009C66B5" w:rsidRDefault="00F864B2">
      <w:pPr>
        <w:pStyle w:val="ConsPlusTitle0"/>
        <w:jc w:val="center"/>
      </w:pPr>
      <w:r>
        <w:t>в Республике Северная Осетия-Алания"</w:t>
      </w:r>
    </w:p>
    <w:p w:rsidR="009C66B5" w:rsidRDefault="00F864B2">
      <w:pPr>
        <w:pStyle w:val="ConsPlusTitle0"/>
        <w:jc w:val="center"/>
      </w:pPr>
      <w:r>
        <w:t>на период 2025 - 2030 годы</w:t>
      </w:r>
    </w:p>
    <w:p w:rsidR="009C66B5" w:rsidRDefault="009C66B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551"/>
        <w:gridCol w:w="2268"/>
        <w:gridCol w:w="1361"/>
        <w:gridCol w:w="1814"/>
        <w:gridCol w:w="2551"/>
      </w:tblGrid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N</w:t>
            </w:r>
          </w:p>
          <w:p w:rsidR="009C66B5" w:rsidRDefault="00F864B2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  <w:jc w:val="center"/>
            </w:pPr>
            <w:r>
              <w:t>Объем ресурсного обеспечения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9C66B5" w:rsidRDefault="009C66B5">
            <w:pPr>
              <w:pStyle w:val="ConsPlusNormal0"/>
            </w:pPr>
          </w:p>
        </w:tc>
        <w:tc>
          <w:tcPr>
            <w:tcW w:w="1814" w:type="dxa"/>
          </w:tcPr>
          <w:p w:rsidR="009C66B5" w:rsidRDefault="00F864B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  <w:jc w:val="center"/>
            </w:pPr>
            <w:r>
              <w:t>6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3"/>
            </w:pPr>
            <w:r>
              <w:t>Задача 1. Продление активного долголетия граждан старшего поколения, создание условий для реализации их личностного потенциала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4"/>
            </w:pPr>
            <w:r>
              <w:t>Повышение информированности граждан старшего поколения о проводимых в рамках Региональной программы мероприятиях, а также возможностях участия в них граждан старшего поколения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Демонстрация информационных материалов на официальном сайте Министерства тру</w:t>
            </w:r>
            <w:r>
              <w:t>да и социального развития Республики Северная Осетия-Алания и страницах в социальных сетях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Информированность граждан старшего поколения о проводимых в рамках Региональной программы мероприятиях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</w:t>
            </w:r>
            <w:r>
              <w:t>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17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</w:t>
            </w:r>
            <w:r>
              <w:t>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Осуществление взаимодействия с гражданами в рамках ведения телеграм-чата для обращений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 xml:space="preserve">Телеграм-чат для обращений граждан, состоящий из 13 разделов, пользующийся большой популярностью среди населения РСО-Алания, обеспечивает каждому желающему </w:t>
            </w:r>
            <w:r>
              <w:lastRenderedPageBreak/>
              <w:t>возможность задать вопрос в тематическом разделе, а профильные специалисты оперативно дать ответы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20</w:t>
            </w:r>
            <w:r>
              <w:t>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18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</w:t>
            </w:r>
            <w:r>
              <w:t xml:space="preserve">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Публикация информационных материалов в республиканских газетах (республиканская ежедневная газета "Северная Осетия" и др. районные издания)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Информированность граждан старшего поколе</w:t>
            </w:r>
            <w:r>
              <w:t>ния о проводимых в рамках Региональной программы мероприятиях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19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Еженедельные пресс-подходы руководителя и администратора проекта на региональном телевидении с разъяснениями по вопросам увеличения периода активного долголетия и продолжительности здоровой жизни, системы долговременного ухода за гражданами пожилого возрас</w:t>
            </w:r>
            <w:r>
              <w:t>та и инвалидами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Информированность граждан старшего поколения о проводимых в рамках Региональной программы мероприятиях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Финансирование обеспечивается в рамках госуд</w:t>
            </w:r>
            <w:r>
              <w:t xml:space="preserve">арственной </w:t>
            </w:r>
            <w:hyperlink r:id="rId20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Размещение информационных стендов в учреждениях системы соци</w:t>
            </w:r>
            <w:r>
              <w:t xml:space="preserve">альной защиты населения и здравоохранения </w:t>
            </w:r>
            <w:r>
              <w:lastRenderedPageBreak/>
              <w:t>Республики Северная Осетия-Алания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Информированность граждан старшего поколения о проводимых в рамках Региональной программы </w:t>
            </w:r>
            <w:r>
              <w:lastRenderedPageBreak/>
              <w:t>мероприятиях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</w:t>
            </w:r>
            <w:r>
              <w:t xml:space="preserve">я </w:t>
            </w:r>
            <w:r>
              <w:lastRenderedPageBreak/>
              <w:t>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Финансирование обеспечивается в рамках государственной </w:t>
            </w:r>
            <w:hyperlink r:id="rId21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</w:t>
            </w:r>
            <w:r>
              <w:lastRenderedPageBreak/>
              <w:t>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Осуществление подомовых обходов силами социальных работников комплексных центров социального обслуживания населения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Информированность граждан старшего поколения о проводимых в рамках Региональной программы мероприятиях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22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</w:t>
            </w:r>
            <w:r>
              <w:t>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Организация методических семинаров, конференций и совещаний по вопросам развития активного долголетия и продолжительности здоровой жизни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Информированность граждан старшего поколения о проводимых в</w:t>
            </w:r>
            <w:r>
              <w:t xml:space="preserve"> рамках Региональной программы мероприятиях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Осетия-Алания;</w:t>
            </w:r>
          </w:p>
          <w:p w:rsidR="009C66B5" w:rsidRDefault="00F864B2">
            <w:pPr>
              <w:pStyle w:val="ConsPlusNormal0"/>
            </w:pPr>
            <w:r>
              <w:t>Министерство здравоохранения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23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4"/>
            </w:pPr>
            <w:r>
              <w:t>Развитие дополнительных образовательных программ, направленных на формирование различных видов функциональной грамотности граждан старшего поколения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Организация консультационно-просветительской деятельности по ознакомлению граждан старшего возраста с о</w:t>
            </w:r>
            <w:r>
              <w:t>сновами компьютерной грамотности с целью их адаптации к требованиям цифрового общества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Повышение качества жизни граждан старшего возраста;</w:t>
            </w:r>
          </w:p>
          <w:p w:rsidR="009C66B5" w:rsidRDefault="00F864B2">
            <w:pPr>
              <w:pStyle w:val="ConsPlusNormal0"/>
            </w:pPr>
            <w:r>
              <w:t>обучение граждан старшего возраста компьютерной грамотности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</w:t>
            </w:r>
            <w:r>
              <w:t>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24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</w:t>
            </w:r>
            <w:r>
              <w:t xml:space="preserve">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Организация консультативных мероприятий по повышению финансовой грамотности и финансовой безопасности граждан старшего возраста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Формирования навыков финансовой безопасности граждан старшего возраста и ответственного поведения при получении кредитов и займов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Финансирование обеспечивается в р</w:t>
            </w:r>
            <w:r>
              <w:t xml:space="preserve">амках государственной </w:t>
            </w:r>
            <w:hyperlink r:id="rId25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Организация мероприятий по освоению азов и (или)</w:t>
            </w:r>
            <w:r>
              <w:t xml:space="preserve"> развитию и совершенствованию навыков владения иностранными языками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Обучение граждан старшего возраста освоению азов и (или) развитию и совершенствованию навыков владения иностранными языками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</w:t>
            </w:r>
            <w:r>
              <w:t>блики Северная Осетия-Алания; Министерство образования и науки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26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</w:t>
            </w:r>
            <w:r>
              <w:t>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4"/>
            </w:pPr>
            <w:r>
              <w:t>Создание условий для повышения доступности образовательных и просветительских программ для граждан старшего поколения (развитие "университетов третьего возраста")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На базе государственного бюджетного учреждения социального обслуживания Республики Северная Осетия-Алания "Республиканский геронтологический центр" действует "Университет третьего возраста"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повышение качества жизни граждан старшего возраста;</w:t>
            </w:r>
          </w:p>
          <w:p w:rsidR="009C66B5" w:rsidRDefault="00F864B2">
            <w:pPr>
              <w:pStyle w:val="ConsPlusNormal0"/>
            </w:pPr>
            <w:r>
              <w:t>вовлечение пож</w:t>
            </w:r>
            <w:r>
              <w:t>илых людей в деятельность, связанную с досугом и отдыхом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Осетия-Алания; Министерство образования и науки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27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Проведение вебинаров и </w:t>
            </w:r>
            <w:r>
              <w:lastRenderedPageBreak/>
              <w:t>онлайн-занятия по просветительским программам в учреждениях социального обслуживания Республики Северная Осетия-Алания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Повышение качества </w:t>
            </w:r>
            <w:r>
              <w:lastRenderedPageBreak/>
              <w:t>жизни граждан старшего возраста;</w:t>
            </w:r>
          </w:p>
          <w:p w:rsidR="009C66B5" w:rsidRDefault="00F864B2">
            <w:pPr>
              <w:pStyle w:val="ConsPlusNormal0"/>
            </w:pPr>
            <w:r>
              <w:t>формирование и (или) развитие навыков интернет-коммуникаций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20</w:t>
            </w:r>
            <w:r>
              <w:t xml:space="preserve">25 - 2030 </w:t>
            </w:r>
            <w:r>
              <w:lastRenderedPageBreak/>
              <w:t>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Министерство </w:t>
            </w:r>
            <w:r>
              <w:lastRenderedPageBreak/>
              <w:t>труда и социального развития Республики Северная Осетия-Алания; Министерство образования и науки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Финансирование </w:t>
            </w:r>
            <w:r>
              <w:lastRenderedPageBreak/>
              <w:t xml:space="preserve">обеспечивается в рамках государственной </w:t>
            </w:r>
            <w:hyperlink r:id="rId28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4"/>
            </w:pPr>
            <w:r>
              <w:lastRenderedPageBreak/>
              <w:t>Организация культурно-досуговых, развивающих мероприятий для граждан старшего поколения на базе организаций социальн</w:t>
            </w:r>
            <w:r>
              <w:t>ого обслуживания населения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Во всех учреждениях социального обслуживания граждан старшего трудоспособного возраста организованы и развиваются клубы и кружки по интересам (танцевальные, читательские, хоровые, любителей караоке-пения, театральные, пр.)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Повышение качества жизни граждан старшего возраста;</w:t>
            </w:r>
          </w:p>
          <w:p w:rsidR="009C66B5" w:rsidRDefault="00F864B2">
            <w:pPr>
              <w:pStyle w:val="ConsPlusNormal0"/>
            </w:pPr>
            <w:r>
              <w:t>реализация гражданами старшего поколения творческого потенциала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Финансирование обеспечивается в рамках государс</w:t>
            </w:r>
            <w:r>
              <w:t xml:space="preserve">твенной </w:t>
            </w:r>
            <w:hyperlink r:id="rId29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Внедрение и развитие новых социальных технологий организации досуга граждан старше трудоспособного возраста: музыкотерапия;</w:t>
            </w:r>
          </w:p>
          <w:p w:rsidR="009C66B5" w:rsidRDefault="00F864B2">
            <w:pPr>
              <w:pStyle w:val="ConsPlusNormal0"/>
            </w:pPr>
            <w:r>
              <w:t>кинотерапия;</w:t>
            </w:r>
          </w:p>
          <w:p w:rsidR="009C66B5" w:rsidRDefault="00F864B2">
            <w:pPr>
              <w:pStyle w:val="ConsPlusNormal0"/>
            </w:pPr>
            <w:r>
              <w:t>гарденотерапия;</w:t>
            </w:r>
          </w:p>
          <w:p w:rsidR="009C66B5" w:rsidRDefault="00F864B2">
            <w:pPr>
              <w:pStyle w:val="ConsPlusNormal0"/>
            </w:pPr>
            <w:r>
              <w:t>анималтерапия и пр.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Повышение качества жизни граждан старшего возраста;</w:t>
            </w:r>
          </w:p>
          <w:p w:rsidR="009C66B5" w:rsidRDefault="00F864B2">
            <w:pPr>
              <w:pStyle w:val="ConsPlusNormal0"/>
            </w:pPr>
            <w:r>
              <w:t xml:space="preserve">реализация гражданами старшего </w:t>
            </w:r>
            <w:r>
              <w:t>поколения творческого потенциала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30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Расширение применения </w:t>
            </w:r>
            <w:r>
              <w:lastRenderedPageBreak/>
              <w:t>различных инструментов мотивации ведения здорового образа жизни и формирования установки на активное долголетие: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Повышение </w:t>
            </w:r>
            <w:r>
              <w:t xml:space="preserve">качества </w:t>
            </w:r>
            <w:r>
              <w:lastRenderedPageBreak/>
              <w:t>жизни граждан старшего возраста;</w:t>
            </w:r>
          </w:p>
          <w:p w:rsidR="009C66B5" w:rsidRDefault="00F864B2">
            <w:pPr>
              <w:pStyle w:val="ConsPlusNormal0"/>
            </w:pPr>
            <w:r>
              <w:t>предупреждение осложнения заболеваний пожилых людей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 xml:space="preserve">2025 - 2030 </w:t>
            </w:r>
            <w:r>
              <w:lastRenderedPageBreak/>
              <w:t>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Министерство </w:t>
            </w:r>
            <w:r>
              <w:lastRenderedPageBreak/>
              <w:t>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Финансирование </w:t>
            </w:r>
            <w:r>
              <w:lastRenderedPageBreak/>
              <w:t xml:space="preserve">обеспечивается в рамках государственной </w:t>
            </w:r>
            <w:hyperlink r:id="rId31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15.1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"Школа активного долголетия"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Оказание содействия гражданам старше трудоспособного возраста в поддержании здорового образа жизни и формирования у них установки на активное долголетие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Финансиров</w:t>
            </w:r>
            <w:r>
              <w:t xml:space="preserve">ание обеспечивается в рамках государственной </w:t>
            </w:r>
            <w:hyperlink r:id="rId32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15.2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"Школа ухода"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Обучение н</w:t>
            </w:r>
            <w:r>
              <w:t>авыкам общего ухода за пожилыми, повышение эффективности оказания им социально-медицинских услуг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33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15.3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"Школа безопасности пожилых людей"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Обучение пожилых в случае необходимо</w:t>
            </w:r>
            <w:r>
              <w:t>сти противодействовать экстремальной ситуации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34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15.4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"Школа здоровья"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 xml:space="preserve">Повышения уровня физической </w:t>
            </w:r>
            <w:r>
              <w:lastRenderedPageBreak/>
              <w:t>активности граждан старшего поколения, в том числе с использованием методов кинезотера</w:t>
            </w:r>
            <w:r>
              <w:t>пии, лечебной гимнастики, механотерапии, терренкура, скандинавской ходьбы и др.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 xml:space="preserve">Министерство труда и </w:t>
            </w:r>
            <w:r>
              <w:lastRenderedPageBreak/>
              <w:t>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Финансирование обеспечивается в рамках </w:t>
            </w:r>
            <w:r>
              <w:lastRenderedPageBreak/>
              <w:t xml:space="preserve">государственной </w:t>
            </w:r>
            <w:hyperlink r:id="rId35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В учреждениях социального обслуживания функционируют клубы путешественни</w:t>
            </w:r>
            <w:r>
              <w:t>ков "Старость меня дома не застанет" ("Социальный туризм"), в том числе по направлениям: паломнический туризм;</w:t>
            </w:r>
          </w:p>
          <w:p w:rsidR="009C66B5" w:rsidRDefault="00F864B2">
            <w:pPr>
              <w:pStyle w:val="ConsPlusNormal0"/>
            </w:pPr>
            <w:r>
              <w:t>познавательный туризм;</w:t>
            </w:r>
          </w:p>
          <w:p w:rsidR="009C66B5" w:rsidRDefault="00F864B2">
            <w:pPr>
              <w:pStyle w:val="ConsPlusNormal0"/>
            </w:pPr>
            <w:r>
              <w:t>спортивный туризм;</w:t>
            </w:r>
          </w:p>
          <w:p w:rsidR="009C66B5" w:rsidRDefault="00F864B2">
            <w:pPr>
              <w:pStyle w:val="ConsPlusNormal0"/>
            </w:pPr>
            <w:r>
              <w:t>виртуальный туризм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Повышения уровня физической активности граждан старшего трудоспособного возраста;</w:t>
            </w:r>
          </w:p>
          <w:p w:rsidR="009C66B5" w:rsidRDefault="00F864B2">
            <w:pPr>
              <w:pStyle w:val="ConsPlusNormal0"/>
            </w:pPr>
            <w:r>
              <w:t>по</w:t>
            </w:r>
            <w:r>
              <w:t>вышение качества жизни граждан старшего возраста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36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4"/>
            </w:pPr>
            <w:r>
              <w:t>Развитие добровольческой (волонтерской) деятельности граждан старшего поколения, включая развитие социального волонтерства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Развитие добровольческой (волонтерской) деятельности граждан старшего поколения ("серебряное" волонтерство), включая развитие социального волонтерства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Повышение уровня активности граждан старшего трудоспособного возраста;</w:t>
            </w:r>
          </w:p>
          <w:p w:rsidR="009C66B5" w:rsidRDefault="00F864B2">
            <w:pPr>
              <w:pStyle w:val="ConsPlusNormal0"/>
            </w:pPr>
            <w:r>
              <w:t>повышение самореализации и адаптац</w:t>
            </w:r>
            <w:r>
              <w:t>ии людей старшего возраста;</w:t>
            </w:r>
          </w:p>
          <w:p w:rsidR="009C66B5" w:rsidRDefault="00F864B2">
            <w:pPr>
              <w:pStyle w:val="ConsPlusNormal0"/>
            </w:pPr>
            <w:r>
              <w:t xml:space="preserve">вовлечение граждан </w:t>
            </w:r>
            <w:r>
              <w:lastRenderedPageBreak/>
              <w:t>старшего возраста в общественную, социальную и иные сферах деятельности общества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Финансирование обеспечивается в рам</w:t>
            </w:r>
            <w:r>
              <w:t xml:space="preserve">ках государственной </w:t>
            </w:r>
            <w:hyperlink r:id="rId37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Развитие в Республике Северная Осетия-Алания "</w:t>
            </w:r>
            <w:r>
              <w:t>серебряного" наставничества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Самореализация и адаптация людей старшего возраста;</w:t>
            </w:r>
          </w:p>
          <w:p w:rsidR="009C66B5" w:rsidRDefault="00F864B2">
            <w:pPr>
              <w:pStyle w:val="ConsPlusNormal0"/>
            </w:pPr>
            <w:r>
              <w:t>вовлечение граждан старшего возраста в общественную, социальную и иные сферах деятельности общества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</w:t>
            </w:r>
            <w:r>
              <w:t>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38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19</w:t>
            </w:r>
            <w:r>
              <w:t>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Проведение "серебряными" добровольцами (волонтерами) культурно-досуговых мероприятий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Повышение качества жизни граждан старшего возраста;</w:t>
            </w:r>
          </w:p>
          <w:p w:rsidR="009C66B5" w:rsidRDefault="00F864B2">
            <w:pPr>
              <w:pStyle w:val="ConsPlusNormal0"/>
            </w:pPr>
            <w:r>
              <w:t>реализация гражданами старшего поколения творческого потенциала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</w:t>
            </w:r>
            <w:r>
              <w:t>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39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4"/>
            </w:pPr>
            <w:r>
              <w:t>Поддержка негосударственных организаций, объединений, средств массовой инфор</w:t>
            </w:r>
            <w:r>
              <w:t>мации, оказывающих поддержку гражданам старшего поколения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Привлечение социально ориентированных некоммерческих организаций к предоставлению социальных услуг в сфере активного долголетия, в том числе включение социально ориентированных некоммерческих </w:t>
            </w:r>
            <w:r>
              <w:lastRenderedPageBreak/>
              <w:t>организаций в реестр поставщиков социальных услуг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lastRenderedPageBreak/>
              <w:t>Повышение каче</w:t>
            </w:r>
            <w:r>
              <w:t>ства жизни граждан старшего возраста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40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Привлечение общественных организаций ветеранов к предоставлению социальных услуг в сфере активного долголетия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Повышение качества жизни гражда</w:t>
            </w:r>
            <w:r>
              <w:t>н старшего возраста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41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3"/>
            </w:pPr>
            <w:r>
              <w:t>Задача 2. Охрана здоровья граждан старшего поколения, развитие медицинской помощи, в том числе по профилю "гериатрия"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Совершенствование оказания медицинской помощи гражданам пожилого возраста, в том числе по профилю "гериатрия"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 xml:space="preserve">Продление долголетия и </w:t>
            </w:r>
            <w:r>
              <w:t>повышение качества жизни людей пожилого и старческого возраста, сохранение и поддержание функциональной способности и максимальной самостоятельности человека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здравоохранения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Финансирование обе</w:t>
            </w:r>
            <w:r>
              <w:t xml:space="preserve">спечивается в рамках государственной </w:t>
            </w:r>
            <w:hyperlink r:id="rId42" w:tooltip="Постановление Правительства Республики Северная Осетия-Алания от 10.12.2019 N 409 (ред. от 14.05.2024) &quot;Об утверждении государственной программы Республики Северная Осетия-Алания &quot;Развитие здравоохранения Республики Северная Осетия-Алания&quot; на 2019 - 2024 годы&quot;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"Развитие здравоохранения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Совершенствование профилактических мероприятий по предупреждению и раннему выявлению заболеваний, гериатрических синдромов и факторов риска их развития с </w:t>
            </w:r>
            <w:r>
              <w:lastRenderedPageBreak/>
              <w:t>оценкой биологического возраста в центрах здоровья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lastRenderedPageBreak/>
              <w:t>Продление долголетия и повышение качества жизни люд</w:t>
            </w:r>
            <w:r>
              <w:t xml:space="preserve">ей пожилого и старческого возраста, сохранение и поддержание функциональной </w:t>
            </w:r>
            <w:r>
              <w:lastRenderedPageBreak/>
              <w:t>способности и максимальной самостоятельности человека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здравоохранения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Финансирование обеспечивается в рамках государ</w:t>
            </w:r>
            <w:r>
              <w:t xml:space="preserve">ственной </w:t>
            </w:r>
            <w:hyperlink r:id="rId43" w:tooltip="Постановление Правительства Республики Северная Осетия-Алания от 10.12.2019 N 409 (ред. от 14.05.2024) &quot;Об утверждении государственной программы Республики Северная Осетия-Алания &quot;Развитие здравоохранения Республики Северная Осетия-Алания&quot; на 2019 - 2024 годы&quot;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"Развитие здравоохранения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24.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Увеличение охвата диспансерным</w:t>
            </w:r>
            <w:r>
              <w:t xml:space="preserve"> наблюдением граждан старшего поколения (более 90 процентов с впервые выявленными заболеваниями), обеспечение преемственности между медицинской помощью, оказываемой в амбулаторных и стационарных условиях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Продление долголетия и повышение качества жизни люде</w:t>
            </w:r>
            <w:r>
              <w:t>й пожилого и старческого возраста, сохранение и поддержание функциональной способности и максимальной самостоятельности человека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здравоохранения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Финансирование обеспечивается в рамках государс</w:t>
            </w:r>
            <w:r>
              <w:t xml:space="preserve">твенной </w:t>
            </w:r>
            <w:hyperlink r:id="rId44" w:tooltip="Постановление Правительства Республики Северная Осетия-Алания от 10.12.2019 N 409 (ред. от 14.05.2024) &quot;Об утверждении государственной программы Республики Северная Осетия-Алания &quot;Развитие здравоохранения Республики Северная Осетия-Алания&quot; на 2019 - 2024 годы&quot;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"Развитие здравоохранения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Совершенствование мер по профилактике падений и переломов у граждан старшего возраста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Продление долголетия и повышение качества жизни людей пожилого и старческого возраста, сохранение и поддержание функциональной способности и максимальной самостоятельност</w:t>
            </w:r>
            <w:r>
              <w:t>и человека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здравоохранения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45" w:tooltip="Постановление Правительства Республики Северная Осетия-Алания от 10.12.2019 N 409 (ред. от 14.05.2024) &quot;Об утверждении государственной программы Республики Северная Осетия-Алания &quot;Развитие здравоохранения Республики Северная Осетия-Алания&quot; на 2019 - 2024 годы&quot;">
              <w:r>
                <w:rPr>
                  <w:color w:val="0000FF"/>
                </w:rPr>
                <w:t>про</w:t>
              </w:r>
              <w:r>
                <w:rPr>
                  <w:color w:val="0000FF"/>
                </w:rPr>
                <w:t>граммы</w:t>
              </w:r>
            </w:hyperlink>
            <w:r>
              <w:t xml:space="preserve"> Республики Северная Осетия-Алания "Развитие здравоохранения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Совершенствование мер профилактики и лечения когнитивных расстройств у граждан старшего поколения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Продление долголетия и повышение качества жизни люд</w:t>
            </w:r>
            <w:r>
              <w:t xml:space="preserve">ей пожилого и старческого возраста, </w:t>
            </w:r>
            <w:r>
              <w:lastRenderedPageBreak/>
              <w:t>сохранение и поддержание функциональной способности и максимальной самостоятельности человека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здравоохранения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Финансирование обеспечивается в рамках государ</w:t>
            </w:r>
            <w:r>
              <w:t xml:space="preserve">ственной </w:t>
            </w:r>
            <w:hyperlink r:id="rId46" w:tooltip="Постановление Правительства Республики Северная Осетия-Алания от 10.12.2019 N 409 (ред. от 14.05.2024) &quot;Об утверждении государственной программы Республики Северная Осетия-Алания &quot;Развитие здравоохранения Республики Северная Осетия-Алания&quot; на 2019 - 2024 годы&quot;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"Развитие </w:t>
            </w:r>
            <w:r>
              <w:lastRenderedPageBreak/>
              <w:t>здравоохранения Республики Северная Осетия-Алания"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3"/>
            </w:pPr>
            <w:r>
              <w:lastRenderedPageBreak/>
              <w:t>Задача 3. Развитие социальных услуг для граждан старшего поколения, продлевающих их здоровую жизнь и обеспечивающих качественный уход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Реализация плана мероприятий ("дорожной карты") по стационарозамещающим технологиям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Обеспечение максимально долгого пребывания граждан старшего поколения со сниженной способностью к самообслуживанию в домашних условиях через внедрение и развитие стационарозамещающих технологий предоставления социальных услуг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 xml:space="preserve">Министерство </w:t>
            </w:r>
            <w:r>
              <w:t>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47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</w:t>
            </w:r>
            <w:r>
              <w:t>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Реализация плана мероприятий ("дорожной карты"</w:t>
            </w:r>
            <w:r>
              <w:t xml:space="preserve">) по созданию в Республике Северная Осетия-Алания в 2025 году системы долговременного ухода за гражданами пожилого возраста и инвалидами, нуждающимися в уходе, утвержденная Правительством Республики Северная </w:t>
            </w:r>
            <w:r>
              <w:lastRenderedPageBreak/>
              <w:t>Осетия-Алания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lastRenderedPageBreak/>
              <w:t>Обеспечение каждого человека, полн</w:t>
            </w:r>
            <w:r>
              <w:t xml:space="preserve">остью или частично утратившего способность к самообслуживанию, системой поддержки высокого качества жизни с максимально возможным уровнем независимости, автономии, участия в деятельности, </w:t>
            </w:r>
            <w:r>
              <w:lastRenderedPageBreak/>
              <w:t>самореализации и человеческого достоинства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</w:t>
            </w:r>
            <w:r>
              <w:t>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48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</w:t>
            </w:r>
            <w:r>
              <w:t>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29.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Совершенствование и развитие "мобильных бригад" (междисциплинарная бригада специалистов, в состав которой входят специалисты по социальной работе, социальные работники, психологи, медицинские работники, </w:t>
            </w:r>
            <w:r>
              <w:t>сотрудники администрации муниципального образования)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Охват социальным обслуживанием граждан, проживающих в отдаленных населенных пунктах, расположенных в горной части республики и малодоступной местности, в том числе страдающих психическими расстройствами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49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</w:t>
            </w:r>
            <w:r>
              <w:t>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3"/>
            </w:pPr>
            <w:r>
              <w:t>Задача 4. Повышение финансовой обеспеченности граждан старшего поколения, создание условий для их занятости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Организация профессионального обучения и дополнительного профессионального образования граждан старшего поколения в рамках федерального проекта "Кадры" с целью формирования различных видов функциональной грамотности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Создание экономических, социальных и пра</w:t>
            </w:r>
            <w:r>
              <w:t>вовых условий, обеспечивающих недопущение дискриминации граждан старшего поколения на рынке труда и способствующих продолжению трудовой деятельности после наступления пенсионного возраста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Комитет Республики Северная Осетия-Алания по занято</w:t>
            </w:r>
            <w:r>
              <w:t>сти населения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50" w:tooltip="Постановление Правительства Республики Северная Осетия-Алания от 28.10.2013 N 383 (ред. от 12.03.2024) &quot;О государственной программе Республики Северная Осетия-Алания &quot;Содействие занятости населения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"Содействие занятости населения Республики Северная </w:t>
            </w:r>
            <w:r>
              <w:t>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Расширение </w:t>
            </w:r>
            <w:r>
              <w:lastRenderedPageBreak/>
              <w:t>использования форм надомной, временной, гибкой и дистанционной занятости для граждан старше трудоспособного возраста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Создание условий для </w:t>
            </w:r>
            <w:r>
              <w:lastRenderedPageBreak/>
              <w:t>финансовой обеспеченности граждан старшего поколения;</w:t>
            </w:r>
          </w:p>
          <w:p w:rsidR="009C66B5" w:rsidRDefault="00F864B2">
            <w:pPr>
              <w:pStyle w:val="ConsPlusNormal0"/>
            </w:pPr>
            <w:r>
              <w:t>реализация трудового потенциала граждан старшего поколения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 xml:space="preserve">2025 - 2030 </w:t>
            </w:r>
            <w:r>
              <w:lastRenderedPageBreak/>
              <w:t>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Комитет </w:t>
            </w:r>
            <w:r>
              <w:lastRenderedPageBreak/>
              <w:t>Республики Северная Осетия-Алания по занятости населения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lastRenderedPageBreak/>
              <w:t xml:space="preserve">Финансирование </w:t>
            </w:r>
            <w:r>
              <w:lastRenderedPageBreak/>
              <w:t xml:space="preserve">обеспечивается в рамках государственной </w:t>
            </w:r>
            <w:hyperlink r:id="rId51" w:tooltip="Постановление Правительства Республики Северная Осетия-Алания от 28.10.2013 N 383 (ред. от 12.03.2024) &quot;О государственной программе Республики Северная Осетия-Алания &quot;Содействие занятости населения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"Содействие занятости населения Республики Северная Осетия-Алания"</w:t>
            </w:r>
          </w:p>
        </w:tc>
      </w:tr>
      <w:tr w:rsidR="009C66B5">
        <w:tc>
          <w:tcPr>
            <w:tcW w:w="11254" w:type="dxa"/>
            <w:gridSpan w:val="6"/>
          </w:tcPr>
          <w:p w:rsidR="009C66B5" w:rsidRDefault="00F864B2">
            <w:pPr>
              <w:pStyle w:val="ConsPlusNormal0"/>
              <w:jc w:val="center"/>
              <w:outlineLvl w:val="3"/>
            </w:pPr>
            <w:r>
              <w:lastRenderedPageBreak/>
              <w:t>Задача 5. Развитие инфраструктуры для качественной и безопасной жизни граждан старшего поколения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Строительство государственного бюджетного учреждения социального обслуживания Республики Северная Осетия-Алания "Республиканский дом-интернат нового типа для престарелых и инвалидов" на 200 мест, по адресу: Республика Северная Осетия-Алания, г. Владикавказ</w:t>
            </w:r>
            <w:r>
              <w:t>, пр. Коста, 28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 xml:space="preserve">Ликвидация очередности в стационарные учреждения социального обслуживания Республики Северная Осетия-Алания; обеспечение комплексной безопасности и комфортных условий предоставления социальных услуг для 200 граждан, признанных нуждающимися </w:t>
            </w:r>
            <w:r>
              <w:t>в стационарном социальном обслуживании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52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Строительство для ГБУ "Комплексный центр социального обслуживания населения Моздокского района"</w:t>
            </w:r>
            <w:r>
              <w:t xml:space="preserve"> здания для размещения 4 отделений и </w:t>
            </w:r>
            <w:r>
              <w:lastRenderedPageBreak/>
              <w:t>социальной столовой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lastRenderedPageBreak/>
              <w:t>Обеспечение приспособленности социально значимых объектов для использования гражданами старшего поколения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53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</w:t>
            </w:r>
            <w:r>
              <w:lastRenderedPageBreak/>
              <w:t>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lastRenderedPageBreak/>
              <w:t>34.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Строительство д</w:t>
            </w:r>
            <w:r>
              <w:t>ля государственного бюджетного учреждения социального обслуживания Республики Северная Осетия-Алания "Комплексный центр социального обслуживания населения Пригородного района" здания в с. Октябрьское Пригородного района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Обеспечение приспособленности социал</w:t>
            </w:r>
            <w:r>
              <w:t>ьно значимых объектов для использования гражданами старшего поколения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>Министерство труда и социального развития Республики Северная 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54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  <w:tr w:rsidR="009C66B5">
        <w:tc>
          <w:tcPr>
            <w:tcW w:w="709" w:type="dxa"/>
          </w:tcPr>
          <w:p w:rsidR="009C66B5" w:rsidRDefault="00F864B2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>Капитальный ремонт здания ГБУ социального обслуживания Республики Северная Осетия-Алания "</w:t>
            </w:r>
            <w:r>
              <w:t>Комплексный центр социального обслуживания населения Ирафского района"</w:t>
            </w:r>
          </w:p>
        </w:tc>
        <w:tc>
          <w:tcPr>
            <w:tcW w:w="2268" w:type="dxa"/>
          </w:tcPr>
          <w:p w:rsidR="009C66B5" w:rsidRDefault="00F864B2">
            <w:pPr>
              <w:pStyle w:val="ConsPlusNormal0"/>
            </w:pPr>
            <w:r>
              <w:t>Обеспечение приспособленности социально значимых объектов для использования гражданами старшего поколения</w:t>
            </w:r>
          </w:p>
        </w:tc>
        <w:tc>
          <w:tcPr>
            <w:tcW w:w="1361" w:type="dxa"/>
          </w:tcPr>
          <w:p w:rsidR="009C66B5" w:rsidRDefault="00F864B2">
            <w:pPr>
              <w:pStyle w:val="ConsPlusNormal0"/>
              <w:jc w:val="center"/>
            </w:pPr>
            <w:r>
              <w:t>2025 - 2030 годы</w:t>
            </w:r>
          </w:p>
        </w:tc>
        <w:tc>
          <w:tcPr>
            <w:tcW w:w="1814" w:type="dxa"/>
          </w:tcPr>
          <w:p w:rsidR="009C66B5" w:rsidRDefault="00F864B2">
            <w:pPr>
              <w:pStyle w:val="ConsPlusNormal0"/>
            </w:pPr>
            <w:r>
              <w:t xml:space="preserve">Министерство труда и социального развития Республики Северная </w:t>
            </w:r>
            <w:r>
              <w:t>Осетия-Алания</w:t>
            </w:r>
          </w:p>
        </w:tc>
        <w:tc>
          <w:tcPr>
            <w:tcW w:w="2551" w:type="dxa"/>
          </w:tcPr>
          <w:p w:rsidR="009C66B5" w:rsidRDefault="00F864B2">
            <w:pPr>
              <w:pStyle w:val="ConsPlusNormal0"/>
            </w:pPr>
            <w:r>
              <w:t xml:space="preserve">Финансирование обеспечивается в рамках государственной </w:t>
            </w:r>
            <w:hyperlink r:id="rId55" w:tooltip="Постановление Правительства Республики Северная Осетия-Алания от 10.05.2016 N 156 (ред. от 29.10.2024) &quot;О государственной программе Республики Северная Осетия-Алания &quot;Социальное развитие Республики Северная Осетия-Алания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Северная Осетия-Алания "Социальное развитие Республики Северная Осетия-Алания"</w:t>
            </w:r>
          </w:p>
        </w:tc>
      </w:tr>
    </w:tbl>
    <w:p w:rsidR="009C66B5" w:rsidRDefault="009C66B5">
      <w:pPr>
        <w:pStyle w:val="ConsPlusNormal0"/>
        <w:ind w:firstLine="540"/>
        <w:jc w:val="both"/>
      </w:pPr>
    </w:p>
    <w:p w:rsidR="009C66B5" w:rsidRDefault="009C66B5">
      <w:pPr>
        <w:pStyle w:val="ConsPlusNormal0"/>
        <w:ind w:firstLine="540"/>
        <w:jc w:val="both"/>
      </w:pPr>
    </w:p>
    <w:p w:rsidR="009C66B5" w:rsidRDefault="009C66B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C66B5">
      <w:headerReference w:type="default" r:id="rId56"/>
      <w:footerReference w:type="default" r:id="rId57"/>
      <w:headerReference w:type="first" r:id="rId58"/>
      <w:footerReference w:type="first" r:id="rId59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4B2" w:rsidRDefault="00F864B2">
      <w:r>
        <w:separator/>
      </w:r>
    </w:p>
  </w:endnote>
  <w:endnote w:type="continuationSeparator" w:id="0">
    <w:p w:rsidR="00F864B2" w:rsidRDefault="00F8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6B5" w:rsidRDefault="009C66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C66B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C66B5" w:rsidRDefault="00F864B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C66B5" w:rsidRDefault="00F864B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C66B5" w:rsidRDefault="00F864B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77F86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77F86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9C66B5" w:rsidRDefault="00F864B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6B5" w:rsidRDefault="009C66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C66B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C66B5" w:rsidRDefault="00F864B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C66B5" w:rsidRDefault="00F864B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C66B5" w:rsidRDefault="00F864B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77F8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77F86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9C66B5" w:rsidRDefault="00F864B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6B5" w:rsidRDefault="009C66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C66B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C66B5" w:rsidRDefault="00F864B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C66B5" w:rsidRDefault="00F864B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C66B5" w:rsidRDefault="00F864B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77F86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77F86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9C66B5" w:rsidRDefault="00F864B2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6B5" w:rsidRDefault="009C66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C66B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C66B5" w:rsidRDefault="00F864B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C66B5" w:rsidRDefault="00F864B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C66B5" w:rsidRDefault="00F864B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77F86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77F86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9C66B5" w:rsidRDefault="00F864B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4B2" w:rsidRDefault="00F864B2">
      <w:r>
        <w:separator/>
      </w:r>
    </w:p>
  </w:footnote>
  <w:footnote w:type="continuationSeparator" w:id="0">
    <w:p w:rsidR="00F864B2" w:rsidRDefault="00F86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C66B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C66B5" w:rsidRDefault="00F864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Республики Северная Осетия-Алания от 19.12.2024 </w:t>
          </w:r>
          <w:r>
            <w:rPr>
              <w:rFonts w:ascii="Tahoma" w:hAnsi="Tahoma" w:cs="Tahoma"/>
              <w:sz w:val="16"/>
              <w:szCs w:val="16"/>
            </w:rPr>
            <w:t>N 548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программы...</w:t>
          </w:r>
        </w:p>
      </w:tc>
      <w:tc>
        <w:tcPr>
          <w:tcW w:w="2300" w:type="pct"/>
          <w:vAlign w:val="center"/>
        </w:tcPr>
        <w:p w:rsidR="009C66B5" w:rsidRDefault="00F864B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12.01.2025</w:t>
          </w:r>
        </w:p>
      </w:tc>
    </w:tr>
  </w:tbl>
  <w:p w:rsidR="009C66B5" w:rsidRDefault="009C66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C66B5" w:rsidRDefault="009C66B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C66B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C66B5" w:rsidRDefault="00F864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Республики </w:t>
          </w:r>
          <w:r>
            <w:rPr>
              <w:rFonts w:ascii="Tahoma" w:hAnsi="Tahoma" w:cs="Tahoma"/>
              <w:sz w:val="16"/>
              <w:szCs w:val="16"/>
            </w:rPr>
            <w:t>Северная Осетия-Алания от 19.12.2024 N 548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программы...</w:t>
          </w:r>
        </w:p>
      </w:tc>
      <w:tc>
        <w:tcPr>
          <w:tcW w:w="2300" w:type="pct"/>
          <w:vAlign w:val="center"/>
        </w:tcPr>
        <w:p w:rsidR="009C66B5" w:rsidRDefault="00F864B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12.01.2025</w:t>
          </w:r>
        </w:p>
      </w:tc>
    </w:tr>
  </w:tbl>
  <w:p w:rsidR="009C66B5" w:rsidRDefault="009C66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C66B5" w:rsidRDefault="009C66B5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9C66B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C66B5" w:rsidRDefault="00F864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</w:t>
          </w:r>
          <w:r>
            <w:rPr>
              <w:rFonts w:ascii="Tahoma" w:hAnsi="Tahoma" w:cs="Tahoma"/>
              <w:sz w:val="16"/>
              <w:szCs w:val="16"/>
            </w:rPr>
            <w:t>становление Правительства Республики Северная Осетия-Алания от 19.12.2024 N 548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программы...</w:t>
          </w:r>
        </w:p>
      </w:tc>
      <w:tc>
        <w:tcPr>
          <w:tcW w:w="2300" w:type="pct"/>
          <w:vAlign w:val="center"/>
        </w:tcPr>
        <w:p w:rsidR="009C66B5" w:rsidRDefault="00F864B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12.01.2025</w:t>
          </w:r>
        </w:p>
      </w:tc>
    </w:tr>
  </w:tbl>
  <w:p w:rsidR="009C66B5" w:rsidRDefault="009C66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C66B5" w:rsidRDefault="009C66B5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9C66B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C66B5" w:rsidRDefault="00F864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Республики Северная Осетия-Алания от 19.12.2024 N 548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программы...</w:t>
          </w:r>
        </w:p>
      </w:tc>
      <w:tc>
        <w:tcPr>
          <w:tcW w:w="2300" w:type="pct"/>
          <w:vAlign w:val="center"/>
        </w:tcPr>
        <w:p w:rsidR="009C66B5" w:rsidRDefault="00F864B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12.01.2025</w:t>
          </w:r>
        </w:p>
      </w:tc>
    </w:tr>
  </w:tbl>
  <w:p w:rsidR="009C66B5" w:rsidRDefault="009C66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C66B5" w:rsidRDefault="009C66B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6B5"/>
    <w:rsid w:val="00177F86"/>
    <w:rsid w:val="009C66B5"/>
    <w:rsid w:val="00F8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77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77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login.consultant.ru/link/?req=doc&amp;base=RLAW430&amp;n=34913&amp;dst=13" TargetMode="External"/><Relationship Id="rId26" Type="http://schemas.openxmlformats.org/officeDocument/2006/relationships/hyperlink" Target="https://login.consultant.ru/link/?req=doc&amp;base=RLAW430&amp;n=34913&amp;dst=13" TargetMode="External"/><Relationship Id="rId39" Type="http://schemas.openxmlformats.org/officeDocument/2006/relationships/hyperlink" Target="https://login.consultant.ru/link/?req=doc&amp;base=RLAW430&amp;n=34913&amp;dst=13" TargetMode="External"/><Relationship Id="rId21" Type="http://schemas.openxmlformats.org/officeDocument/2006/relationships/hyperlink" Target="https://login.consultant.ru/link/?req=doc&amp;base=RLAW430&amp;n=34913&amp;dst=13" TargetMode="External"/><Relationship Id="rId34" Type="http://schemas.openxmlformats.org/officeDocument/2006/relationships/hyperlink" Target="https://login.consultant.ru/link/?req=doc&amp;base=RLAW430&amp;n=34913&amp;dst=13" TargetMode="External"/><Relationship Id="rId42" Type="http://schemas.openxmlformats.org/officeDocument/2006/relationships/hyperlink" Target="https://login.consultant.ru/link/?req=doc&amp;base=RLAW430&amp;n=32953&amp;dst=104515" TargetMode="External"/><Relationship Id="rId47" Type="http://schemas.openxmlformats.org/officeDocument/2006/relationships/hyperlink" Target="https://login.consultant.ru/link/?req=doc&amp;base=RLAW430&amp;n=34913&amp;dst=13" TargetMode="External"/><Relationship Id="rId50" Type="http://schemas.openxmlformats.org/officeDocument/2006/relationships/hyperlink" Target="https://login.consultant.ru/link/?req=doc&amp;base=RLAW430&amp;n=32186&amp;dst=6" TargetMode="External"/><Relationship Id="rId55" Type="http://schemas.openxmlformats.org/officeDocument/2006/relationships/hyperlink" Target="https://login.consultant.ru/link/?req=doc&amp;base=RLAW430&amp;n=34913&amp;dst=13" TargetMode="Externa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hyperlink" Target="https://login.consultant.ru/link/?req=doc&amp;base=RLAW430&amp;n=34913&amp;dst=13" TargetMode="External"/><Relationship Id="rId29" Type="http://schemas.openxmlformats.org/officeDocument/2006/relationships/hyperlink" Target="https://login.consultant.ru/link/?req=doc&amp;base=RLAW430&amp;n=34913&amp;dst=13" TargetMode="External"/><Relationship Id="rId41" Type="http://schemas.openxmlformats.org/officeDocument/2006/relationships/hyperlink" Target="https://login.consultant.ru/link/?req=doc&amp;base=RLAW430&amp;n=34913&amp;dst=13" TargetMode="External"/><Relationship Id="rId54" Type="http://schemas.openxmlformats.org/officeDocument/2006/relationships/hyperlink" Target="https://login.consultant.ru/link/?req=doc&amp;base=RLAW430&amp;n=34913&amp;dst=1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430&amp;n=27465&amp;dst=100008" TargetMode="External"/><Relationship Id="rId24" Type="http://schemas.openxmlformats.org/officeDocument/2006/relationships/hyperlink" Target="https://login.consultant.ru/link/?req=doc&amp;base=RLAW430&amp;n=34913&amp;dst=13" TargetMode="External"/><Relationship Id="rId32" Type="http://schemas.openxmlformats.org/officeDocument/2006/relationships/hyperlink" Target="https://login.consultant.ru/link/?req=doc&amp;base=RLAW430&amp;n=34913&amp;dst=13" TargetMode="External"/><Relationship Id="rId37" Type="http://schemas.openxmlformats.org/officeDocument/2006/relationships/hyperlink" Target="https://login.consultant.ru/link/?req=doc&amp;base=RLAW430&amp;n=34913&amp;dst=13" TargetMode="External"/><Relationship Id="rId40" Type="http://schemas.openxmlformats.org/officeDocument/2006/relationships/hyperlink" Target="https://login.consultant.ru/link/?req=doc&amp;base=RLAW430&amp;n=34913&amp;dst=13" TargetMode="External"/><Relationship Id="rId45" Type="http://schemas.openxmlformats.org/officeDocument/2006/relationships/hyperlink" Target="https://login.consultant.ru/link/?req=doc&amp;base=RLAW430&amp;n=32953&amp;dst=104515" TargetMode="External"/><Relationship Id="rId53" Type="http://schemas.openxmlformats.org/officeDocument/2006/relationships/hyperlink" Target="https://login.consultant.ru/link/?req=doc&amp;base=RLAW430&amp;n=34913&amp;dst=13" TargetMode="External"/><Relationship Id="rId58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https://login.consultant.ru/link/?req=doc&amp;base=RLAW430&amp;n=34913&amp;dst=13" TargetMode="External"/><Relationship Id="rId28" Type="http://schemas.openxmlformats.org/officeDocument/2006/relationships/hyperlink" Target="https://login.consultant.ru/link/?req=doc&amp;base=RLAW430&amp;n=34913&amp;dst=13" TargetMode="External"/><Relationship Id="rId36" Type="http://schemas.openxmlformats.org/officeDocument/2006/relationships/hyperlink" Target="https://login.consultant.ru/link/?req=doc&amp;base=RLAW430&amp;n=34913&amp;dst=13" TargetMode="External"/><Relationship Id="rId49" Type="http://schemas.openxmlformats.org/officeDocument/2006/relationships/hyperlink" Target="https://login.consultant.ru/link/?req=doc&amp;base=RLAW430&amp;n=34913&amp;dst=13" TargetMode="External"/><Relationship Id="rId57" Type="http://schemas.openxmlformats.org/officeDocument/2006/relationships/footer" Target="footer3.xm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84857&amp;dst=100452" TargetMode="External"/><Relationship Id="rId19" Type="http://schemas.openxmlformats.org/officeDocument/2006/relationships/hyperlink" Target="https://login.consultant.ru/link/?req=doc&amp;base=RLAW430&amp;n=34913&amp;dst=13" TargetMode="External"/><Relationship Id="rId31" Type="http://schemas.openxmlformats.org/officeDocument/2006/relationships/hyperlink" Target="https://login.consultant.ru/link/?req=doc&amp;base=RLAW430&amp;n=34913&amp;dst=13" TargetMode="External"/><Relationship Id="rId44" Type="http://schemas.openxmlformats.org/officeDocument/2006/relationships/hyperlink" Target="https://login.consultant.ru/link/?req=doc&amp;base=RLAW430&amp;n=32953&amp;dst=104515" TargetMode="External"/><Relationship Id="rId52" Type="http://schemas.openxmlformats.org/officeDocument/2006/relationships/hyperlink" Target="https://login.consultant.ru/link/?req=doc&amp;base=RLAW430&amp;n=34913&amp;dst=13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login.consultant.ru/link/?req=doc&amp;base=RLAW430&amp;n=34913&amp;dst=13" TargetMode="External"/><Relationship Id="rId27" Type="http://schemas.openxmlformats.org/officeDocument/2006/relationships/hyperlink" Target="https://login.consultant.ru/link/?req=doc&amp;base=RLAW430&amp;n=34913&amp;dst=13" TargetMode="External"/><Relationship Id="rId30" Type="http://schemas.openxmlformats.org/officeDocument/2006/relationships/hyperlink" Target="https://login.consultant.ru/link/?req=doc&amp;base=RLAW430&amp;n=34913&amp;dst=13" TargetMode="External"/><Relationship Id="rId35" Type="http://schemas.openxmlformats.org/officeDocument/2006/relationships/hyperlink" Target="https://login.consultant.ru/link/?req=doc&amp;base=RLAW430&amp;n=34913&amp;dst=13" TargetMode="External"/><Relationship Id="rId43" Type="http://schemas.openxmlformats.org/officeDocument/2006/relationships/hyperlink" Target="https://login.consultant.ru/link/?req=doc&amp;base=RLAW430&amp;n=32953&amp;dst=104515" TargetMode="External"/><Relationship Id="rId48" Type="http://schemas.openxmlformats.org/officeDocument/2006/relationships/hyperlink" Target="https://login.consultant.ru/link/?req=doc&amp;base=RLAW430&amp;n=34913&amp;dst=13" TargetMode="External"/><Relationship Id="rId56" Type="http://schemas.openxmlformats.org/officeDocument/2006/relationships/header" Target="header3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430&amp;n=32186&amp;dst=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84857&amp;dst=100452" TargetMode="External"/><Relationship Id="rId17" Type="http://schemas.openxmlformats.org/officeDocument/2006/relationships/hyperlink" Target="https://login.consultant.ru/link/?req=doc&amp;base=RLAW430&amp;n=34913&amp;dst=13" TargetMode="External"/><Relationship Id="rId25" Type="http://schemas.openxmlformats.org/officeDocument/2006/relationships/hyperlink" Target="https://login.consultant.ru/link/?req=doc&amp;base=RLAW430&amp;n=34913&amp;dst=13" TargetMode="External"/><Relationship Id="rId33" Type="http://schemas.openxmlformats.org/officeDocument/2006/relationships/hyperlink" Target="https://login.consultant.ru/link/?req=doc&amp;base=RLAW430&amp;n=34913&amp;dst=13" TargetMode="External"/><Relationship Id="rId38" Type="http://schemas.openxmlformats.org/officeDocument/2006/relationships/hyperlink" Target="https://login.consultant.ru/link/?req=doc&amp;base=RLAW430&amp;n=34913&amp;dst=13" TargetMode="External"/><Relationship Id="rId46" Type="http://schemas.openxmlformats.org/officeDocument/2006/relationships/hyperlink" Target="https://login.consultant.ru/link/?req=doc&amp;base=RLAW430&amp;n=32953&amp;dst=104515" TargetMode="External"/><Relationship Id="rId59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9920</Words>
  <Characters>56545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Республики Северная Осетия-Алания от 19.12.2024 N 548
"Об утверждении региональной программы "Активное долголетие в Республике Северная Осетия-Алания" на 2025 - 2030 годы"</vt:lpstr>
    </vt:vector>
  </TitlesOfParts>
  <Company>КонсультантПлюс Версия 4024.00.51</Company>
  <LinksUpToDate>false</LinksUpToDate>
  <CharactersWithSpaces>66333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Северная Осетия-Алания от 19.12.2024 N 548
"Об утверждении региональной программы "Активное долголетие в Республике Северная Осетия-Алания" на 2025 - 2030 годы"</dc:title>
  <dc:creator>2cab2pc</dc:creator>
  <cp:lastModifiedBy>2cab2pc</cp:lastModifiedBy>
  <cp:revision>2</cp:revision>
  <dcterms:created xsi:type="dcterms:W3CDTF">2025-03-18T13:02:00Z</dcterms:created>
  <dcterms:modified xsi:type="dcterms:W3CDTF">2025-03-18T13:02:00Z</dcterms:modified>
</cp:coreProperties>
</file>